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auto"/>
          <w:sz w:val="48"/>
        </w:rPr>
      </w:pPr>
    </w:p>
    <w:p>
      <w:pPr>
        <w:widowControl/>
        <w:spacing w:line="360" w:lineRule="auto"/>
        <w:jc w:val="left"/>
        <w:rPr>
          <w:rFonts w:ascii="宋体" w:hAnsi="宋体"/>
          <w:color w:val="auto"/>
          <w:sz w:val="48"/>
        </w:rPr>
      </w:pPr>
    </w:p>
    <w:p>
      <w:pPr>
        <w:spacing w:line="360" w:lineRule="auto"/>
        <w:jc w:val="center"/>
        <w:rPr>
          <w:rFonts w:ascii="宋体" w:hAnsi="宋体"/>
          <w:b/>
          <w:color w:val="auto"/>
          <w:sz w:val="48"/>
        </w:rPr>
      </w:pPr>
      <w:r>
        <w:rPr>
          <w:rFonts w:hint="eastAsia" w:ascii="宋体" w:hAnsi="宋体"/>
          <w:b/>
          <w:color w:val="auto"/>
          <w:sz w:val="48"/>
        </w:rPr>
        <w:t>惠州市房屋建筑和市政基础设施工程</w:t>
      </w:r>
    </w:p>
    <w:p>
      <w:pPr>
        <w:spacing w:line="360" w:lineRule="auto"/>
        <w:jc w:val="center"/>
        <w:rPr>
          <w:rFonts w:ascii="宋体" w:hAnsi="宋体"/>
          <w:b/>
          <w:color w:val="auto"/>
          <w:sz w:val="48"/>
        </w:rPr>
      </w:pPr>
      <w:r>
        <w:rPr>
          <w:rFonts w:hint="eastAsia" w:ascii="宋体" w:hAnsi="宋体"/>
          <w:b/>
          <w:color w:val="auto"/>
          <w:sz w:val="48"/>
        </w:rPr>
        <w:t>施工招标文件示范文本</w:t>
      </w:r>
    </w:p>
    <w:p>
      <w:pPr>
        <w:spacing w:line="360" w:lineRule="auto"/>
        <w:jc w:val="center"/>
        <w:rPr>
          <w:color w:val="auto"/>
        </w:rPr>
      </w:pPr>
      <w:r>
        <w:rPr>
          <w:rFonts w:hint="eastAsia" w:ascii="宋体" w:hAnsi="宋体"/>
          <w:b/>
          <w:color w:val="auto"/>
          <w:sz w:val="36"/>
        </w:rPr>
        <w:t>（</w:t>
      </w:r>
      <w:r>
        <w:rPr>
          <w:rFonts w:hint="eastAsia" w:ascii="宋体" w:hAnsi="宋体" w:cs="黑体"/>
          <w:b/>
          <w:bCs/>
          <w:color w:val="auto"/>
          <w:sz w:val="36"/>
          <w:szCs w:val="36"/>
        </w:rPr>
        <w:t>2023</w:t>
      </w:r>
      <w:r>
        <w:rPr>
          <w:rFonts w:hint="eastAsia" w:ascii="宋体" w:hAnsi="宋体"/>
          <w:b/>
          <w:color w:val="auto"/>
          <w:sz w:val="36"/>
        </w:rPr>
        <w:t>年</w:t>
      </w:r>
      <w:r>
        <w:rPr>
          <w:rFonts w:hint="eastAsia" w:ascii="宋体" w:hAnsi="宋体" w:cs="黑体"/>
          <w:b/>
          <w:bCs/>
          <w:color w:val="auto"/>
          <w:sz w:val="36"/>
          <w:szCs w:val="36"/>
        </w:rPr>
        <w:t>评定分离</w:t>
      </w:r>
      <w:r>
        <w:rPr>
          <w:rFonts w:hint="eastAsia" w:ascii="宋体" w:hAnsi="宋体"/>
          <w:b/>
          <w:color w:val="auto"/>
          <w:sz w:val="36"/>
        </w:rPr>
        <w:t>试行版）</w:t>
      </w: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0" w:firstLineChars="0"/>
        <w:jc w:val="center"/>
        <w:rPr>
          <w:rFonts w:ascii="宋体" w:hAnsi="宋体"/>
          <w:b/>
          <w:color w:val="auto"/>
          <w:sz w:val="36"/>
        </w:rPr>
      </w:pPr>
      <w:r>
        <w:rPr>
          <w:rFonts w:hint="eastAsia" w:ascii="宋体" w:hAnsi="宋体"/>
          <w:b/>
          <w:color w:val="auto"/>
          <w:sz w:val="36"/>
        </w:rPr>
        <w:t>惠州市住房和城乡建设局</w:t>
      </w:r>
    </w:p>
    <w:p>
      <w:pPr>
        <w:pStyle w:val="2"/>
        <w:ind w:firstLine="0" w:firstLineChars="0"/>
        <w:jc w:val="center"/>
        <w:rPr>
          <w:rFonts w:ascii="宋体" w:hAnsi="宋体" w:cs="黑体"/>
          <w:b/>
          <w:bCs/>
          <w:color w:val="auto"/>
          <w:sz w:val="36"/>
          <w:szCs w:val="36"/>
        </w:rPr>
      </w:pPr>
      <w:r>
        <w:rPr>
          <w:rFonts w:hint="eastAsia" w:ascii="宋体" w:hAnsi="宋体" w:cs="黑体"/>
          <w:b/>
          <w:bCs/>
          <w:color w:val="auto"/>
          <w:sz w:val="36"/>
          <w:szCs w:val="36"/>
        </w:rPr>
        <w:t>二〇二三年二月</w:t>
      </w:r>
    </w:p>
    <w:p>
      <w:pPr>
        <w:pStyle w:val="2"/>
        <w:ind w:firstLine="723"/>
        <w:rPr>
          <w:rFonts w:ascii="宋体" w:hAnsi="宋体"/>
          <w:b/>
          <w:color w:val="auto"/>
          <w:sz w:val="36"/>
        </w:rPr>
      </w:pPr>
    </w:p>
    <w:p>
      <w:pPr>
        <w:jc w:val="center"/>
        <w:outlineLvl w:val="0"/>
        <w:rPr>
          <w:rFonts w:ascii="宋体" w:hAnsi="宋体"/>
          <w:b/>
          <w:color w:val="auto"/>
          <w:sz w:val="36"/>
          <w:szCs w:val="36"/>
        </w:rPr>
        <w:sectPr>
          <w:footerReference r:id="rId3" w:type="first"/>
          <w:pgSz w:w="11905" w:h="16838"/>
          <w:pgMar w:top="1417" w:right="1417" w:bottom="1417" w:left="1417" w:header="851" w:footer="850" w:gutter="0"/>
          <w:pgNumType w:fmt="upperRoman" w:start="1"/>
          <w:cols w:space="720" w:num="1"/>
          <w:docGrid w:type="lines" w:linePitch="318" w:charSpace="0"/>
        </w:sectPr>
      </w:pPr>
      <w:bookmarkStart w:id="0" w:name="_Toc30216"/>
    </w:p>
    <w:p>
      <w:pPr>
        <w:pStyle w:val="3"/>
        <w:rPr>
          <w:b w:val="0"/>
          <w:color w:val="auto"/>
        </w:rPr>
      </w:pPr>
      <w:bookmarkStart w:id="1" w:name="_Toc124612891"/>
      <w:bookmarkStart w:id="2" w:name="_Toc27416"/>
      <w:bookmarkStart w:id="3" w:name="_Toc119872456"/>
      <w:r>
        <w:rPr>
          <w:rFonts w:hint="eastAsia"/>
          <w:color w:val="auto"/>
        </w:rPr>
        <w:t>说</w:t>
      </w:r>
      <w:r>
        <w:rPr>
          <w:color w:val="auto"/>
        </w:rPr>
        <w:t xml:space="preserve">  </w:t>
      </w:r>
      <w:r>
        <w:rPr>
          <w:rFonts w:hint="eastAsia"/>
          <w:color w:val="auto"/>
        </w:rPr>
        <w:t>明</w:t>
      </w:r>
      <w:bookmarkEnd w:id="0"/>
      <w:bookmarkEnd w:id="1"/>
      <w:bookmarkEnd w:id="2"/>
      <w:bookmarkEnd w:id="3"/>
    </w:p>
    <w:p>
      <w:pPr>
        <w:pStyle w:val="2"/>
        <w:rPr>
          <w:rFonts w:ascii="宋体" w:hAnsi="宋体"/>
          <w:color w:val="auto"/>
        </w:rPr>
      </w:pPr>
    </w:p>
    <w:p>
      <w:pPr>
        <w:pStyle w:val="4"/>
        <w:ind w:firstLine="482"/>
        <w:rPr>
          <w:color w:val="auto"/>
        </w:rPr>
      </w:pPr>
      <w:bookmarkStart w:id="4" w:name="_Toc7297"/>
      <w:bookmarkStart w:id="5" w:name="_Toc124612892"/>
      <w:bookmarkStart w:id="6" w:name="_Toc11726"/>
      <w:bookmarkStart w:id="7" w:name="_Toc119872457"/>
      <w:r>
        <w:rPr>
          <w:rFonts w:hint="eastAsia"/>
          <w:color w:val="auto"/>
        </w:rPr>
        <w:t>一、《范本》的编制目的</w:t>
      </w:r>
      <w:bookmarkEnd w:id="4"/>
      <w:bookmarkEnd w:id="5"/>
      <w:bookmarkEnd w:id="6"/>
      <w:bookmarkEnd w:id="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文件是招投标活动中对招标人和投标人具有约束力的重要文件，是招投标活动的章程，是招标人和中标人签订合同的基础性文件。因此，招标文件的质量直接关系到招投标活动是否规范、是否会引起投标人或其他利害关系人的异议或投诉，进而关系到合同能否全面履行等诸多问题，完整、严谨和规范的招标文件对于保证招投标活动的规范有序、质量和效率，以及合同的全面履行具有重要意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文件具有结构复杂、表述和涉及内容广泛的特点，编制招标文件是一项政策性和技术性较强、工作量较大的工作。目前，由于招标人和招标代理机构的业务水平、综合素质良莠不齐，再加上招标人对招标时间要求紧与客观存在的编写内容多、工作量大的矛盾，有的招标文件编制时采取简单的复制或拼凑，致使招标文件不规范、不严谨、不系统，甚至存在组成部分和基本内容不全、违反招投标有关法律法规规定的规则和程序、存在显失公平合理的霸王条款等问题，给招投标工作的顺利开展和合同的全面履行带来一定的负面影响。</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基于以上情况，为进一步指导和规范本市房屋建筑和市政基础设施工程施工招标文件的编制，提高编制质量和效率，达到规范招投标活动、加强招标投标和合同履约监管的目的。根据《惠州市住房和城乡建设局关于印发房屋建筑和市政 基础设施工程招标项目推行“评定分离”的工作指引的通知》（惠市住建函〔2022〕1040号）等文件，惠州市住房和城乡建设局组织编制了《惠州市房屋建筑和市政基础设施工程施工招标文件示范文本（2023年评定分离试行版）》（以下简称《范本》）。</w:t>
      </w:r>
    </w:p>
    <w:p>
      <w:pPr>
        <w:pStyle w:val="4"/>
        <w:ind w:firstLine="482"/>
        <w:rPr>
          <w:b w:val="0"/>
          <w:color w:val="auto"/>
        </w:rPr>
      </w:pPr>
      <w:bookmarkStart w:id="8" w:name="_Toc124612893"/>
      <w:bookmarkStart w:id="9" w:name="_Toc2419"/>
      <w:bookmarkStart w:id="10" w:name="_Toc119872458"/>
      <w:bookmarkStart w:id="11" w:name="_Toc10759"/>
      <w:r>
        <w:rPr>
          <w:rFonts w:hint="eastAsia"/>
          <w:color w:val="auto"/>
        </w:rPr>
        <w:t>二、《范本》的主要编制依据</w:t>
      </w:r>
      <w:bookmarkEnd w:id="8"/>
      <w:bookmarkEnd w:id="9"/>
      <w:bookmarkEnd w:id="10"/>
      <w:bookmarkEnd w:id="11"/>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1、《中华人民共和国建筑法》；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2、《中华人民共和国招标投标法》；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3、《中华人民共和国民法典》；</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4、《中华人民共和国招标投标法实施条例》；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5、《建设工程质量管理条例》；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6、《建设工程安全生产管理条例》；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7、《工程建设项目施工招标投标办法》（原国家计委等七部委30号令）；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8、《评标委员会和评标方法暂行规定》（原国家计委等七部委12号令）；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9、《房屋建筑和市政基础设施工程施工招标投标管理办法》；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10、《优化营商环境条例》（国务院令第722号）；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11、《广东省实施〈中华人民共和国招标投标法〉办法》；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12、其他有关法律、法规、规章、规范性文件及工程规范。</w:t>
      </w:r>
    </w:p>
    <w:p>
      <w:pPr>
        <w:pStyle w:val="4"/>
        <w:ind w:firstLine="482"/>
        <w:rPr>
          <w:b w:val="0"/>
          <w:color w:val="auto"/>
        </w:rPr>
      </w:pPr>
      <w:bookmarkStart w:id="12" w:name="_Toc9326"/>
      <w:bookmarkStart w:id="13" w:name="_Toc1033"/>
      <w:bookmarkStart w:id="14" w:name="_Toc124612894"/>
      <w:bookmarkStart w:id="15" w:name="_Toc119872459"/>
      <w:r>
        <w:rPr>
          <w:rFonts w:hint="eastAsia"/>
          <w:color w:val="auto"/>
        </w:rPr>
        <w:t>三、《范本》的编制原则</w:t>
      </w:r>
      <w:bookmarkEnd w:id="12"/>
      <w:bookmarkEnd w:id="13"/>
      <w:bookmarkEnd w:id="14"/>
      <w:bookmarkEnd w:id="1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一是严格遵守招投标有关法律、法规、规章、规范性文件及工程规范，充分体现“公开、公平、公正和诚实信用”原则，满足招投标监管工作的需要，切实解决当前招投标活动中存在的突出问题。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是切合本市房屋建筑和市政基础设施工程施工招标实际，创新结构体系，使《范本》具有较强的适用性，可供不同的招标项目、不同层次的单位或人员使用。编制时既体现共性，又展现个性，从而减少招标文件编制的工作量，既合理提高整个行业招标文件、投标文件及合同文件的编制质量和效率，又使合同主体在合同履行过程中始终把握合同管理的关键要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三是充分考虑项目管理模式创新和发展的新情况，并适应国内建筑市场和国际通行做法的需要，使《范本》具有适度的先进性。</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四是全面系统、规范严谨，实现《范本》的模块化和可操作性。编制时针对《范本》各组成部分予以合理定位，力求其内容合法合规、表述简练、通俗易懂、全面系统、有机统一；针对某一事项界定时尽可能在一个条款内完整表述，避免相互指引，实现《范本》的模块化；条款内容具体明确，使《范本》具有较强的可操作性。</w:t>
      </w:r>
    </w:p>
    <w:p>
      <w:pPr>
        <w:pStyle w:val="4"/>
        <w:ind w:firstLine="482"/>
        <w:rPr>
          <w:b w:val="0"/>
          <w:color w:val="auto"/>
        </w:rPr>
      </w:pPr>
      <w:bookmarkStart w:id="16" w:name="_Toc16694"/>
      <w:bookmarkStart w:id="17" w:name="_Toc119872460"/>
      <w:bookmarkStart w:id="18" w:name="_Toc6904"/>
      <w:bookmarkStart w:id="19" w:name="_Toc124612895"/>
      <w:r>
        <w:rPr>
          <w:rFonts w:hint="eastAsia"/>
          <w:color w:val="auto"/>
        </w:rPr>
        <w:t>四、《范本》的内容构成</w:t>
      </w:r>
      <w:bookmarkEnd w:id="16"/>
      <w:bookmarkEnd w:id="17"/>
      <w:bookmarkEnd w:id="18"/>
      <w:bookmarkEnd w:id="1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本《范本》包括以下九部分内容：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1、招标公告：主要包括项目概况与招标范围、投标人资格要求、参与项目投标的方式、联系方式等内容。</w:t>
      </w:r>
    </w:p>
    <w:p>
      <w:pPr>
        <w:adjustRightInd w:val="0"/>
        <w:snapToGrid w:val="0"/>
        <w:spacing w:line="360" w:lineRule="auto"/>
        <w:ind w:firstLine="480" w:firstLineChars="200"/>
        <w:rPr>
          <w:rFonts w:ascii="宋体" w:hAnsi="宋体" w:cs="宋体"/>
          <w:b/>
          <w:color w:val="auto"/>
          <w:sz w:val="24"/>
        </w:rPr>
      </w:pPr>
      <w:r>
        <w:rPr>
          <w:rFonts w:hint="eastAsia" w:ascii="宋体" w:hAnsi="宋体" w:cs="宋体"/>
          <w:color w:val="auto"/>
          <w:sz w:val="24"/>
        </w:rPr>
        <w:t>2、投标须知：投标须知主要针对招投标活动的程序和时限，以及与招标投标有关的事项进行界定，并作为招标文件各组成部分的基础性文件，相当于招标文件的“总则”。</w:t>
      </w:r>
    </w:p>
    <w:p>
      <w:pPr>
        <w:adjustRightInd w:val="0"/>
        <w:snapToGrid w:val="0"/>
        <w:spacing w:line="360" w:lineRule="auto"/>
        <w:ind w:firstLine="480" w:firstLineChars="200"/>
        <w:rPr>
          <w:rFonts w:ascii="宋体" w:hAnsi="宋体" w:cs="宋体"/>
          <w:b/>
          <w:color w:val="auto"/>
          <w:sz w:val="24"/>
        </w:rPr>
      </w:pPr>
      <w:r>
        <w:rPr>
          <w:rFonts w:hint="eastAsia" w:ascii="宋体" w:hAnsi="宋体" w:cs="宋体"/>
          <w:color w:val="auto"/>
          <w:sz w:val="24"/>
        </w:rPr>
        <w:t>3、评标办法：评标办法主要针对评标活动的原则、程序和方法、条件和标准、中标候选人的推荐等事项进行界定，是评判投标人能否进入</w:t>
      </w:r>
      <w:r>
        <w:rPr>
          <w:rFonts w:hint="eastAsia" w:ascii="宋体" w:hAnsi="宋体"/>
          <w:color w:val="auto"/>
          <w:sz w:val="24"/>
        </w:rPr>
        <w:t>中标</w:t>
      </w:r>
      <w:r>
        <w:rPr>
          <w:rFonts w:hint="eastAsia" w:ascii="宋体" w:hAnsi="宋体" w:cs="宋体"/>
          <w:color w:val="auto"/>
          <w:sz w:val="24"/>
        </w:rPr>
        <w:t>候选人名单的依据和准则，其内容仅</w:t>
      </w:r>
      <w:r>
        <w:rPr>
          <w:rFonts w:hint="eastAsia" w:ascii="宋体" w:hAnsi="宋体" w:cs="宋体"/>
          <w:bCs/>
          <w:color w:val="auto"/>
          <w:sz w:val="24"/>
        </w:rPr>
        <w:t>限于评标委员会的评标活动</w:t>
      </w:r>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4、定标办法：定标办法主要针对定标活动的定标方法、定标因素、定标委员会组成、定标时间、定标地点、中标候选人公示等事项进行界定，是择优确定中标人的依据和准则。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5、合同格式及主要条款：合同是招标人与中标人共同签署的一份用于明确双方合同关系的文件。出于规范合同签订的目的，给定了合同协议书的格式。合同条款主要针对合同双方的权利和义务关系进行约定。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6、工程量清单：工程量清单是招标文件的组成部分，是招标人编制招标控制价和投标人投标报价的依据。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7、图纸：图纸是招标文件的组成部分，图纸主要明确拟招工程的图纸清单，《范本》中只列出了“图纸”的标题。</w:t>
      </w:r>
    </w:p>
    <w:p>
      <w:pPr>
        <w:adjustRightInd w:val="0"/>
        <w:snapToGrid w:val="0"/>
        <w:spacing w:line="360" w:lineRule="auto"/>
        <w:ind w:firstLine="480" w:firstLineChars="200"/>
        <w:rPr>
          <w:rFonts w:ascii="宋体" w:hAnsi="宋体" w:cs="宋体"/>
          <w:b/>
          <w:color w:val="auto"/>
          <w:sz w:val="24"/>
        </w:rPr>
      </w:pPr>
      <w:r>
        <w:rPr>
          <w:rFonts w:hint="eastAsia" w:ascii="宋体" w:hAnsi="宋体" w:cs="宋体"/>
          <w:color w:val="auto"/>
          <w:sz w:val="24"/>
        </w:rPr>
        <w:t>8、技术标准和要求：技术标准和要求主要针对拟招工程的承包（招标）范围，以及</w:t>
      </w:r>
      <w:r>
        <w:rPr>
          <w:rFonts w:hint="eastAsia" w:ascii="宋体" w:hAnsi="宋体" w:cs="宋体"/>
          <w:bCs/>
          <w:color w:val="auto"/>
          <w:sz w:val="24"/>
        </w:rPr>
        <w:t>质量、工期、技术和计价等方面的要求进行界定，</w:t>
      </w:r>
      <w:r>
        <w:rPr>
          <w:rFonts w:hint="eastAsia" w:ascii="宋体" w:hAnsi="宋体" w:cs="宋体"/>
          <w:color w:val="auto"/>
          <w:sz w:val="24"/>
        </w:rPr>
        <w:t>是指导投标人编制投标文件的重要依据，</w:t>
      </w:r>
      <w:r>
        <w:rPr>
          <w:rFonts w:hint="eastAsia" w:ascii="宋体" w:hAnsi="宋体" w:cs="宋体"/>
          <w:bCs/>
          <w:color w:val="auto"/>
          <w:sz w:val="24"/>
        </w:rPr>
        <w:t>既服务于招标投标，又将构成合同文件的组成部分。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9、投标文件格式：由于投标文件内容比较宽泛以及个案项目的差异性，出于规范招投标活动的目的，给定了投标文件的格式，招标人可在遵守现行法律法规的前提下依据拟招标项目情况自行补充。</w:t>
      </w:r>
    </w:p>
    <w:p>
      <w:pPr>
        <w:pStyle w:val="4"/>
        <w:ind w:firstLine="482"/>
        <w:rPr>
          <w:b w:val="0"/>
          <w:color w:val="auto"/>
        </w:rPr>
      </w:pPr>
      <w:bookmarkStart w:id="20" w:name="_Toc28494"/>
      <w:bookmarkStart w:id="21" w:name="_Toc124612896"/>
      <w:bookmarkStart w:id="22" w:name="_Toc11595"/>
      <w:bookmarkStart w:id="23" w:name="_Toc119872461"/>
      <w:r>
        <w:rPr>
          <w:rFonts w:hint="eastAsia"/>
          <w:color w:val="auto"/>
        </w:rPr>
        <w:t>五、《范本》的使用</w:t>
      </w:r>
      <w:bookmarkEnd w:id="20"/>
      <w:bookmarkEnd w:id="21"/>
      <w:bookmarkEnd w:id="22"/>
      <w:bookmarkEnd w:id="23"/>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1、本《范本》是指导招标人或招标代理机构编制采用“评定分离”方式的房屋建筑和市政基础设施工程施工招标文件的示范性文本。</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2、本《范本》适用于惠州市公共资源交易中心及其分中心交易的资格后审施工招标。不在惠州市公共资源交易中心及其分中心交易的项目，招标人可根据其所选择交易平台的交易规则进行相应调整。</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依据现行国家、省、市法规政策和有关要求，结合招标工程特点和实际需要，招标人可以对本范本中的条款内容进行细化明确，细化明确的内容在“投标须知前附表”、“评标办法前附表”、“合同专用条款”中注明，但不得与“投标须知通用条款”、“评标方法”、</w:t>
      </w:r>
      <w:r>
        <w:rPr>
          <w:rFonts w:hint="eastAsia" w:ascii="宋体" w:hAnsi="宋体"/>
          <w:color w:val="auto"/>
        </w:rPr>
        <w:t>“</w:t>
      </w:r>
      <w:r>
        <w:rPr>
          <w:rFonts w:hint="eastAsia" w:ascii="宋体" w:hAnsi="宋体" w:cs="宋体"/>
          <w:color w:val="auto"/>
          <w:sz w:val="24"/>
        </w:rPr>
        <w:t>定标办法</w:t>
      </w:r>
      <w:r>
        <w:rPr>
          <w:rFonts w:hint="eastAsia" w:ascii="宋体" w:hAnsi="宋体"/>
          <w:color w:val="auto"/>
        </w:rPr>
        <w:t>”、</w:t>
      </w:r>
      <w:r>
        <w:rPr>
          <w:rFonts w:hint="eastAsia" w:ascii="宋体" w:hAnsi="宋体" w:cs="宋体"/>
          <w:color w:val="auto"/>
          <w:sz w:val="24"/>
        </w:rPr>
        <w:t>“合同通用条款”正文内容相抵触。相关修改内容不得违反国家、省、市法规政策和有关要求。</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、本《范本》第八章 “技术标准和要求”由招标人根据招标项目具体特点和实际需要编制，并与“投标须知”、“通用合同条款”、“专用合同条款”相衔接。</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、本《范本》的评标办法分“定性评审”方式和“定量评审”方式两种，定标办法分“票决法”、“集体议事法”或招标文件规定的其他定标方法，招标人根据项目特点和实际需求自行选择。</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、本《范本》使用过程中，如有意见和建议请及时向惠州市住房和城乡建设局反映，以便本《范本》在推行使用中得以完善。</w:t>
      </w:r>
    </w:p>
    <w:p>
      <w:pPr>
        <w:pStyle w:val="2"/>
        <w:spacing w:line="360" w:lineRule="auto"/>
        <w:ind w:firstLine="482"/>
        <w:rPr>
          <w:rFonts w:ascii="宋体" w:hAnsi="宋体" w:cs="宋体"/>
          <w:b/>
          <w:color w:val="auto"/>
          <w:sz w:val="24"/>
        </w:rPr>
      </w:pPr>
    </w:p>
    <w:p>
      <w:pPr>
        <w:pStyle w:val="2"/>
        <w:spacing w:line="360" w:lineRule="auto"/>
        <w:ind w:firstLine="482"/>
        <w:rPr>
          <w:rFonts w:ascii="宋体" w:hAnsi="宋体" w:cs="宋体"/>
          <w:b/>
          <w:color w:val="auto"/>
          <w:sz w:val="24"/>
        </w:rPr>
      </w:pPr>
    </w:p>
    <w:p>
      <w:pPr>
        <w:pStyle w:val="2"/>
        <w:spacing w:line="360" w:lineRule="auto"/>
        <w:ind w:firstLine="482"/>
        <w:rPr>
          <w:rFonts w:ascii="宋体" w:hAnsi="宋体" w:cs="宋体"/>
          <w:b/>
          <w:color w:val="auto"/>
          <w:sz w:val="24"/>
        </w:rPr>
      </w:pPr>
    </w:p>
    <w:p>
      <w:pPr>
        <w:spacing w:line="360" w:lineRule="auto"/>
        <w:jc w:val="center"/>
        <w:rPr>
          <w:rFonts w:ascii="宋体" w:hAnsi="宋体"/>
          <w:color w:val="auto"/>
          <w:sz w:val="44"/>
          <w:u w:val="single"/>
        </w:rPr>
      </w:pPr>
    </w:p>
    <w:p>
      <w:pPr>
        <w:spacing w:line="360" w:lineRule="auto"/>
        <w:jc w:val="center"/>
        <w:rPr>
          <w:rFonts w:ascii="宋体" w:hAnsi="宋体"/>
          <w:color w:val="auto"/>
          <w:sz w:val="44"/>
        </w:rPr>
      </w:pPr>
      <w:r>
        <w:rPr>
          <w:rFonts w:ascii="宋体" w:hAnsi="宋体"/>
          <w:color w:val="auto"/>
          <w:sz w:val="44"/>
        </w:rPr>
        <w:br w:type="page"/>
      </w:r>
    </w:p>
    <w:p>
      <w:pPr>
        <w:spacing w:line="360" w:lineRule="auto"/>
        <w:jc w:val="center"/>
        <w:rPr>
          <w:rFonts w:ascii="宋体" w:hAnsi="宋体"/>
          <w:color w:val="auto"/>
          <w:sz w:val="44"/>
        </w:rPr>
      </w:pPr>
      <w:r>
        <w:rPr>
          <w:rFonts w:ascii="宋体" w:hAnsi="宋体"/>
          <w:color w:val="auto"/>
          <w:sz w:val="44"/>
          <w:u w:val="single"/>
        </w:rPr>
        <w:t xml:space="preserve">                       </w:t>
      </w:r>
      <w:r>
        <w:rPr>
          <w:rFonts w:hint="eastAsia" w:ascii="宋体" w:hAnsi="宋体"/>
          <w:color w:val="auto"/>
          <w:sz w:val="44"/>
        </w:rPr>
        <w:t>（项目名称）</w:t>
      </w:r>
    </w:p>
    <w:p>
      <w:pPr>
        <w:spacing w:line="360" w:lineRule="auto"/>
        <w:jc w:val="center"/>
        <w:rPr>
          <w:rFonts w:ascii="宋体" w:hAnsi="宋体"/>
          <w:color w:val="auto"/>
          <w:sz w:val="44"/>
        </w:rPr>
      </w:pPr>
      <w:r>
        <w:rPr>
          <w:rFonts w:hint="eastAsia" w:ascii="宋体" w:hAnsi="宋体"/>
          <w:color w:val="auto"/>
          <w:sz w:val="44"/>
        </w:rPr>
        <w:t>施工招标</w:t>
      </w: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pStyle w:val="2"/>
        <w:ind w:firstLine="560"/>
        <w:rPr>
          <w:rFonts w:ascii="宋体" w:hAnsi="宋体"/>
          <w:color w:val="auto"/>
          <w:sz w:val="28"/>
        </w:rPr>
      </w:pPr>
    </w:p>
    <w:p>
      <w:pPr>
        <w:spacing w:line="360" w:lineRule="auto"/>
        <w:jc w:val="center"/>
        <w:rPr>
          <w:rFonts w:ascii="宋体" w:hAnsi="宋体"/>
          <w:color w:val="auto"/>
          <w:sz w:val="72"/>
        </w:rPr>
      </w:pPr>
      <w:r>
        <w:rPr>
          <w:rFonts w:hint="eastAsia" w:ascii="宋体" w:hAnsi="宋体"/>
          <w:color w:val="auto"/>
          <w:sz w:val="84"/>
        </w:rPr>
        <w:t>招标文件</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w:t xml:space="preserve"> </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jc w:val="center"/>
        <w:rPr>
          <w:rFonts w:ascii="宋体" w:hAnsi="宋体"/>
          <w:color w:val="auto"/>
          <w:sz w:val="28"/>
        </w:rPr>
      </w:pPr>
      <w:r>
        <w:rPr>
          <w:rFonts w:hint="eastAsia" w:ascii="宋体" w:hAnsi="宋体"/>
          <w:color w:val="auto"/>
          <w:sz w:val="28"/>
        </w:rPr>
        <w:t>招标人：</w:t>
      </w:r>
      <w:r>
        <w:rPr>
          <w:rFonts w:ascii="宋体" w:hAnsi="宋体"/>
          <w:color w:val="auto"/>
          <w:sz w:val="28"/>
          <w:u w:val="single"/>
        </w:rPr>
        <w:t xml:space="preserve">            </w:t>
      </w:r>
      <w:r>
        <w:rPr>
          <w:rFonts w:hint="eastAsia" w:ascii="宋体" w:hAnsi="宋体"/>
          <w:color w:val="auto"/>
          <w:sz w:val="28"/>
        </w:rPr>
        <w:t>（盖公章）</w:t>
      </w:r>
    </w:p>
    <w:p>
      <w:pPr>
        <w:spacing w:line="360" w:lineRule="auto"/>
        <w:jc w:val="center"/>
        <w:rPr>
          <w:rFonts w:ascii="宋体" w:hAnsi="宋体"/>
          <w:color w:val="auto"/>
          <w:sz w:val="28"/>
        </w:rPr>
      </w:pPr>
      <w:r>
        <w:rPr>
          <w:rFonts w:hint="eastAsia" w:ascii="宋体" w:hAnsi="宋体"/>
          <w:color w:val="auto"/>
          <w:sz w:val="28"/>
        </w:rPr>
        <w:t>招标代理机构：</w:t>
      </w:r>
      <w:r>
        <w:rPr>
          <w:rFonts w:ascii="宋体" w:hAnsi="宋体"/>
          <w:color w:val="auto"/>
          <w:sz w:val="28"/>
          <w:u w:val="single"/>
        </w:rPr>
        <w:t xml:space="preserve">            </w:t>
      </w:r>
      <w:r>
        <w:rPr>
          <w:rFonts w:hint="eastAsia" w:ascii="宋体" w:hAnsi="宋体"/>
          <w:color w:val="auto"/>
          <w:sz w:val="28"/>
        </w:rPr>
        <w:t>（盖公章）</w:t>
      </w:r>
    </w:p>
    <w:p>
      <w:pPr>
        <w:spacing w:line="360" w:lineRule="auto"/>
        <w:jc w:val="center"/>
        <w:rPr>
          <w:rFonts w:ascii="宋体" w:hAnsi="宋体"/>
          <w:color w:val="auto"/>
          <w:sz w:val="28"/>
        </w:rPr>
      </w:pPr>
      <w:r>
        <w:rPr>
          <w:rFonts w:ascii="宋体" w:hAnsi="宋体"/>
          <w:color w:val="auto"/>
          <w:sz w:val="28"/>
          <w:u w:val="single"/>
        </w:rPr>
        <w:t xml:space="preserve">        </w:t>
      </w:r>
      <w:r>
        <w:rPr>
          <w:rFonts w:hint="eastAsia" w:ascii="宋体" w:hAnsi="宋体"/>
          <w:color w:val="auto"/>
          <w:sz w:val="28"/>
        </w:rPr>
        <w:t>年</w:t>
      </w:r>
      <w:r>
        <w:rPr>
          <w:rFonts w:ascii="宋体" w:hAnsi="宋体"/>
          <w:color w:val="auto"/>
          <w:sz w:val="28"/>
          <w:u w:val="single"/>
        </w:rPr>
        <w:t xml:space="preserve">    </w:t>
      </w:r>
      <w:r>
        <w:rPr>
          <w:rFonts w:hint="eastAsia" w:ascii="宋体" w:hAnsi="宋体"/>
          <w:color w:val="auto"/>
          <w:sz w:val="28"/>
        </w:rPr>
        <w:t>月</w:t>
      </w:r>
      <w:r>
        <w:rPr>
          <w:rFonts w:ascii="宋体" w:hAnsi="宋体"/>
          <w:color w:val="auto"/>
          <w:sz w:val="28"/>
          <w:u w:val="single"/>
        </w:rPr>
        <w:t xml:space="preserve">    </w:t>
      </w:r>
      <w:r>
        <w:rPr>
          <w:rFonts w:hint="eastAsia" w:ascii="宋体" w:hAnsi="宋体"/>
          <w:color w:val="auto"/>
          <w:sz w:val="28"/>
        </w:rPr>
        <w:t>日</w:t>
      </w:r>
    </w:p>
    <w:p>
      <w:pPr>
        <w:spacing w:line="360" w:lineRule="auto"/>
        <w:ind w:firstLine="420" w:firstLineChars="200"/>
        <w:rPr>
          <w:rFonts w:ascii="宋体" w:hAnsi="宋体" w:cs="宋体"/>
          <w:color w:val="auto"/>
          <w:szCs w:val="21"/>
        </w:rPr>
      </w:pPr>
      <w:bookmarkStart w:id="24" w:name="_Toc144974478"/>
      <w:bookmarkStart w:id="25" w:name="_Toc152042286"/>
    </w:p>
    <w:p>
      <w:pPr>
        <w:spacing w:line="360" w:lineRule="auto"/>
        <w:jc w:val="center"/>
        <w:rPr>
          <w:rFonts w:ascii="宋体" w:hAnsi="宋体"/>
          <w:b/>
          <w:color w:val="auto"/>
          <w:sz w:val="28"/>
        </w:rPr>
      </w:pPr>
      <w:r>
        <w:rPr>
          <w:rFonts w:ascii="宋体" w:hAnsi="宋体"/>
          <w:color w:val="auto"/>
        </w:rPr>
        <w:br w:type="page"/>
      </w:r>
      <w:bookmarkEnd w:id="24"/>
      <w:bookmarkEnd w:id="25"/>
      <w:bookmarkStart w:id="26" w:name="_Toc4078293"/>
      <w:bookmarkStart w:id="27" w:name="_Toc246996898"/>
      <w:bookmarkStart w:id="28" w:name="_Toc247085669"/>
      <w:bookmarkStart w:id="29" w:name="_Toc296602400"/>
      <w:r>
        <w:rPr>
          <w:rFonts w:hint="eastAsia" w:ascii="宋体" w:hAnsi="宋体"/>
          <w:b/>
          <w:color w:val="auto"/>
          <w:sz w:val="28"/>
        </w:rPr>
        <w:t>目</w:t>
      </w:r>
      <w:r>
        <w:rPr>
          <w:rFonts w:ascii="宋体" w:hAnsi="宋体"/>
          <w:b/>
          <w:color w:val="auto"/>
          <w:sz w:val="28"/>
        </w:rPr>
        <w:t xml:space="preserve">  </w:t>
      </w:r>
      <w:r>
        <w:rPr>
          <w:rFonts w:hint="eastAsia" w:ascii="宋体" w:hAnsi="宋体"/>
          <w:b/>
          <w:color w:val="auto"/>
          <w:sz w:val="28"/>
        </w:rPr>
        <w:t>录</w:t>
      </w:r>
      <w:bookmarkEnd w:id="26"/>
      <w:bookmarkEnd w:id="27"/>
      <w:bookmarkEnd w:id="28"/>
      <w:bookmarkEnd w:id="29"/>
    </w:p>
    <w:p>
      <w:pPr>
        <w:pStyle w:val="31"/>
        <w:tabs>
          <w:tab w:val="right" w:leader="dot" w:pos="9061"/>
        </w:tabs>
        <w:rPr>
          <w:rFonts w:asciiTheme="minorHAnsi" w:hAnsiTheme="minorHAnsi" w:eastAsiaTheme="minorEastAsia" w:cstheme="minorBidi"/>
          <w:b w:val="0"/>
          <w:bCs w:val="0"/>
          <w:caps w:val="0"/>
          <w:color w:val="auto"/>
          <w:sz w:val="21"/>
          <w:szCs w:val="22"/>
        </w:rPr>
      </w:pPr>
      <w:bookmarkStart w:id="30" w:name="_Toc152042287"/>
      <w:bookmarkStart w:id="31" w:name="_Toc152045511"/>
      <w:bookmarkStart w:id="32" w:name="_Toc144974479"/>
      <w:bookmarkStart w:id="33" w:name="_Toc179632527"/>
      <w:r>
        <w:rPr>
          <w:smallCaps/>
          <w:color w:val="auto"/>
          <w:sz w:val="21"/>
          <w:szCs w:val="22"/>
        </w:rPr>
        <w:fldChar w:fldCharType="begin"/>
      </w:r>
      <w:r>
        <w:rPr>
          <w:smallCaps/>
          <w:color w:val="auto"/>
          <w:sz w:val="21"/>
          <w:szCs w:val="22"/>
        </w:rPr>
        <w:instrText xml:space="preserve"> TOC \o "1-3" \h \z \u </w:instrText>
      </w:r>
      <w:r>
        <w:rPr>
          <w:smallCaps/>
          <w:color w:val="auto"/>
          <w:sz w:val="21"/>
          <w:szCs w:val="22"/>
        </w:rPr>
        <w:fldChar w:fldCharType="separate"/>
      </w:r>
      <w:r>
        <w:rPr>
          <w:color w:val="auto"/>
        </w:rPr>
        <w:fldChar w:fldCharType="begin"/>
      </w:r>
      <w:r>
        <w:rPr>
          <w:color w:val="auto"/>
        </w:rPr>
        <w:instrText xml:space="preserve"> HYPERLINK \l "_Toc124612891" </w:instrText>
      </w:r>
      <w:r>
        <w:rPr>
          <w:color w:val="auto"/>
        </w:rPr>
        <w:fldChar w:fldCharType="separate"/>
      </w:r>
      <w:r>
        <w:rPr>
          <w:rStyle w:val="54"/>
          <w:color w:val="auto"/>
        </w:rPr>
        <w:t>说  明</w:t>
      </w:r>
      <w:r>
        <w:rPr>
          <w:color w:val="auto"/>
        </w:rPr>
        <w:tab/>
      </w:r>
      <w:r>
        <w:rPr>
          <w:color w:val="auto"/>
        </w:rPr>
        <w:fldChar w:fldCharType="begin"/>
      </w:r>
      <w:r>
        <w:rPr>
          <w:color w:val="auto"/>
        </w:rPr>
        <w:instrText xml:space="preserve"> PAGEREF _Toc124612891 \h </w:instrText>
      </w:r>
      <w:r>
        <w:rPr>
          <w:color w:val="auto"/>
        </w:rPr>
        <w:fldChar w:fldCharType="separate"/>
      </w:r>
      <w:r>
        <w:rPr>
          <w:color w:val="auto"/>
        </w:rPr>
        <w:t>1</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"_Toc124612892" </w:instrText>
      </w:r>
      <w:r>
        <w:rPr>
          <w:color w:val="auto"/>
        </w:rPr>
        <w:fldChar w:fldCharType="separate"/>
      </w:r>
      <w:r>
        <w:rPr>
          <w:rStyle w:val="54"/>
          <w:color w:val="auto"/>
        </w:rPr>
        <w:t>一、《范本》的编制目的</w:t>
      </w:r>
      <w:r>
        <w:rPr>
          <w:color w:val="auto"/>
        </w:rPr>
        <w:tab/>
      </w:r>
      <w:r>
        <w:rPr>
          <w:color w:val="auto"/>
        </w:rPr>
        <w:fldChar w:fldCharType="begin"/>
      </w:r>
      <w:r>
        <w:rPr>
          <w:color w:val="auto"/>
        </w:rPr>
        <w:instrText xml:space="preserve"> PAGEREF _Toc124612892 \h </w:instrText>
      </w:r>
      <w:r>
        <w:rPr>
          <w:color w:val="auto"/>
        </w:rPr>
        <w:fldChar w:fldCharType="separate"/>
      </w:r>
      <w:r>
        <w:rPr>
          <w:color w:val="auto"/>
        </w:rPr>
        <w:t>1</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"_Toc124612893" </w:instrText>
      </w:r>
      <w:r>
        <w:rPr>
          <w:color w:val="auto"/>
        </w:rPr>
        <w:fldChar w:fldCharType="separate"/>
      </w:r>
      <w:r>
        <w:rPr>
          <w:rStyle w:val="54"/>
          <w:color w:val="auto"/>
        </w:rPr>
        <w:t>二、《范本》的主要编制依据</w:t>
      </w:r>
      <w:r>
        <w:rPr>
          <w:color w:val="auto"/>
        </w:rPr>
        <w:tab/>
      </w:r>
      <w:r>
        <w:rPr>
          <w:color w:val="auto"/>
        </w:rPr>
        <w:fldChar w:fldCharType="begin"/>
      </w:r>
      <w:r>
        <w:rPr>
          <w:color w:val="auto"/>
        </w:rPr>
        <w:instrText xml:space="preserve"> PAGEREF _Toc124612893 \h </w:instrText>
      </w:r>
      <w:r>
        <w:rPr>
          <w:color w:val="auto"/>
        </w:rPr>
        <w:fldChar w:fldCharType="separate"/>
      </w:r>
      <w:r>
        <w:rPr>
          <w:color w:val="auto"/>
        </w:rPr>
        <w:t>1</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"_Toc124612894" </w:instrText>
      </w:r>
      <w:r>
        <w:rPr>
          <w:color w:val="auto"/>
        </w:rPr>
        <w:fldChar w:fldCharType="separate"/>
      </w:r>
      <w:r>
        <w:rPr>
          <w:rStyle w:val="54"/>
          <w:color w:val="auto"/>
        </w:rPr>
        <w:t>三、《范本》的编制原则</w:t>
      </w:r>
      <w:r>
        <w:rPr>
          <w:color w:val="auto"/>
        </w:rPr>
        <w:tab/>
      </w:r>
      <w:r>
        <w:rPr>
          <w:color w:val="auto"/>
        </w:rPr>
        <w:fldChar w:fldCharType="begin"/>
      </w:r>
      <w:r>
        <w:rPr>
          <w:color w:val="auto"/>
        </w:rPr>
        <w:instrText xml:space="preserve"> PAGEREF _Toc124612894 \h </w:instrText>
      </w:r>
      <w:r>
        <w:rPr>
          <w:color w:val="auto"/>
        </w:rPr>
        <w:fldChar w:fldCharType="separate"/>
      </w:r>
      <w:r>
        <w:rPr>
          <w:color w:val="auto"/>
        </w:rPr>
        <w:t>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"_Toc124612895" </w:instrText>
      </w:r>
      <w:r>
        <w:rPr>
          <w:color w:val="auto"/>
        </w:rPr>
        <w:fldChar w:fldCharType="separate"/>
      </w:r>
      <w:r>
        <w:rPr>
          <w:rStyle w:val="54"/>
          <w:color w:val="auto"/>
        </w:rPr>
        <w:t>四、《范本》的内容构成</w:t>
      </w:r>
      <w:r>
        <w:rPr>
          <w:color w:val="auto"/>
        </w:rPr>
        <w:tab/>
      </w:r>
      <w:r>
        <w:rPr>
          <w:color w:val="auto"/>
        </w:rPr>
        <w:fldChar w:fldCharType="begin"/>
      </w:r>
      <w:r>
        <w:rPr>
          <w:color w:val="auto"/>
        </w:rPr>
        <w:instrText xml:space="preserve"> PAGEREF _Toc124612895 \h </w:instrText>
      </w:r>
      <w:r>
        <w:rPr>
          <w:color w:val="auto"/>
        </w:rPr>
        <w:fldChar w:fldCharType="separate"/>
      </w:r>
      <w:r>
        <w:rPr>
          <w:color w:val="auto"/>
        </w:rPr>
        <w:t>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"_Toc124612896" </w:instrText>
      </w:r>
      <w:r>
        <w:rPr>
          <w:color w:val="auto"/>
        </w:rPr>
        <w:fldChar w:fldCharType="separate"/>
      </w:r>
      <w:r>
        <w:rPr>
          <w:rStyle w:val="54"/>
          <w:color w:val="auto"/>
        </w:rPr>
        <w:t>五、《范本》的使用</w:t>
      </w:r>
      <w:r>
        <w:rPr>
          <w:color w:val="auto"/>
        </w:rPr>
        <w:tab/>
      </w:r>
      <w:r>
        <w:rPr>
          <w:color w:val="auto"/>
        </w:rPr>
        <w:fldChar w:fldCharType="begin"/>
      </w:r>
      <w:r>
        <w:rPr>
          <w:color w:val="auto"/>
        </w:rPr>
        <w:instrText xml:space="preserve"> PAGEREF _Toc124612896 \h </w:instrText>
      </w:r>
      <w:r>
        <w:rPr>
          <w:color w:val="auto"/>
        </w:rPr>
        <w:fldChar w:fldCharType="separate"/>
      </w:r>
      <w:r>
        <w:rPr>
          <w:color w:val="auto"/>
        </w:rPr>
        <w:t>3</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"_Toc124612897" </w:instrText>
      </w:r>
      <w:r>
        <w:rPr>
          <w:color w:val="auto"/>
        </w:rPr>
        <w:fldChar w:fldCharType="separate"/>
      </w:r>
      <w:r>
        <w:rPr>
          <w:rStyle w:val="54"/>
          <w:color w:val="auto"/>
        </w:rPr>
        <w:t>第一章 招标公告</w:t>
      </w:r>
      <w:r>
        <w:rPr>
          <w:color w:val="auto"/>
        </w:rPr>
        <w:tab/>
      </w:r>
      <w:r>
        <w:rPr>
          <w:color w:val="auto"/>
        </w:rPr>
        <w:fldChar w:fldCharType="begin"/>
      </w:r>
      <w:r>
        <w:rPr>
          <w:color w:val="auto"/>
        </w:rPr>
        <w:instrText xml:space="preserve"> PAGEREF _Toc124612897 \h </w:instrText>
      </w:r>
      <w:r>
        <w:rPr>
          <w:color w:val="auto"/>
        </w:rPr>
        <w:fldChar w:fldCharType="separate"/>
      </w:r>
      <w:r>
        <w:rPr>
          <w:color w:val="auto"/>
        </w:rPr>
        <w:t>12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"_Toc124612898" </w:instrText>
      </w:r>
      <w:r>
        <w:rPr>
          <w:color w:val="auto"/>
        </w:rPr>
        <w:fldChar w:fldCharType="separate"/>
      </w:r>
      <w:r>
        <w:rPr>
          <w:rStyle w:val="54"/>
          <w:color w:val="auto"/>
        </w:rPr>
        <w:t>1. 招标条件</w:t>
      </w:r>
      <w:r>
        <w:rPr>
          <w:color w:val="auto"/>
        </w:rPr>
        <w:tab/>
      </w:r>
      <w:r>
        <w:rPr>
          <w:color w:val="auto"/>
        </w:rPr>
        <w:fldChar w:fldCharType="begin"/>
      </w:r>
      <w:r>
        <w:rPr>
          <w:color w:val="auto"/>
        </w:rPr>
        <w:instrText xml:space="preserve"> PAGEREF _Toc124612898 \h </w:instrText>
      </w:r>
      <w:r>
        <w:rPr>
          <w:color w:val="auto"/>
        </w:rPr>
        <w:fldChar w:fldCharType="separate"/>
      </w:r>
      <w:r>
        <w:rPr>
          <w:color w:val="auto"/>
        </w:rPr>
        <w:t>12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"_Toc124612899" </w:instrText>
      </w:r>
      <w:r>
        <w:rPr>
          <w:color w:val="auto"/>
        </w:rPr>
        <w:fldChar w:fldCharType="separate"/>
      </w:r>
      <w:r>
        <w:rPr>
          <w:rStyle w:val="54"/>
          <w:color w:val="auto"/>
        </w:rPr>
        <w:t>2. 项目概况与招标范围</w:t>
      </w:r>
      <w:r>
        <w:rPr>
          <w:color w:val="auto"/>
        </w:rPr>
        <w:tab/>
      </w:r>
      <w:r>
        <w:rPr>
          <w:color w:val="auto"/>
        </w:rPr>
        <w:fldChar w:fldCharType="begin"/>
      </w:r>
      <w:r>
        <w:rPr>
          <w:color w:val="auto"/>
        </w:rPr>
        <w:instrText xml:space="preserve"> PAGEREF _Toc124612899 \h </w:instrText>
      </w:r>
      <w:r>
        <w:rPr>
          <w:color w:val="auto"/>
        </w:rPr>
        <w:fldChar w:fldCharType="separate"/>
      </w:r>
      <w:r>
        <w:rPr>
          <w:color w:val="auto"/>
        </w:rPr>
        <w:t>12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"_Toc124612900" </w:instrText>
      </w:r>
      <w:r>
        <w:rPr>
          <w:color w:val="auto"/>
        </w:rPr>
        <w:fldChar w:fldCharType="separate"/>
      </w:r>
      <w:r>
        <w:rPr>
          <w:rStyle w:val="54"/>
          <w:color w:val="auto"/>
        </w:rPr>
        <w:t>3. 投标人资格要求</w:t>
      </w:r>
      <w:r>
        <w:rPr>
          <w:color w:val="auto"/>
        </w:rPr>
        <w:tab/>
      </w:r>
      <w:r>
        <w:rPr>
          <w:color w:val="auto"/>
        </w:rPr>
        <w:fldChar w:fldCharType="begin"/>
      </w:r>
      <w:r>
        <w:rPr>
          <w:color w:val="auto"/>
        </w:rPr>
        <w:instrText xml:space="preserve"> PAGEREF _Toc124612900 \h </w:instrText>
      </w:r>
      <w:r>
        <w:rPr>
          <w:color w:val="auto"/>
        </w:rPr>
        <w:fldChar w:fldCharType="separate"/>
      </w:r>
      <w:r>
        <w:rPr>
          <w:color w:val="auto"/>
        </w:rPr>
        <w:t>12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"_Toc124612901" </w:instrText>
      </w:r>
      <w:r>
        <w:rPr>
          <w:color w:val="auto"/>
        </w:rPr>
        <w:fldChar w:fldCharType="separate"/>
      </w:r>
      <w:r>
        <w:rPr>
          <w:rStyle w:val="54"/>
          <w:color w:val="auto"/>
        </w:rPr>
        <w:t>4. 参与项目投标的方式</w:t>
      </w:r>
      <w:r>
        <w:rPr>
          <w:color w:val="auto"/>
        </w:rPr>
        <w:tab/>
      </w:r>
      <w:r>
        <w:rPr>
          <w:color w:val="auto"/>
        </w:rPr>
        <w:fldChar w:fldCharType="begin"/>
      </w:r>
      <w:r>
        <w:rPr>
          <w:color w:val="auto"/>
        </w:rPr>
        <w:instrText xml:space="preserve"> PAGEREF _Toc124612901 \h </w:instrText>
      </w:r>
      <w:r>
        <w:rPr>
          <w:color w:val="auto"/>
        </w:rPr>
        <w:fldChar w:fldCharType="separate"/>
      </w:r>
      <w:r>
        <w:rPr>
          <w:color w:val="auto"/>
        </w:rPr>
        <w:t>13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"_Toc124612902" </w:instrText>
      </w:r>
      <w:r>
        <w:rPr>
          <w:color w:val="auto"/>
        </w:rPr>
        <w:fldChar w:fldCharType="separate"/>
      </w:r>
      <w:r>
        <w:rPr>
          <w:rStyle w:val="54"/>
          <w:color w:val="auto"/>
        </w:rPr>
        <w:t>5. 获取招标文件、图纸的方式</w:t>
      </w:r>
      <w:r>
        <w:rPr>
          <w:color w:val="auto"/>
        </w:rPr>
        <w:tab/>
      </w:r>
      <w:r>
        <w:rPr>
          <w:color w:val="auto"/>
        </w:rPr>
        <w:fldChar w:fldCharType="begin"/>
      </w:r>
      <w:r>
        <w:rPr>
          <w:color w:val="auto"/>
        </w:rPr>
        <w:instrText xml:space="preserve"> PAGEREF _Toc124612902 \h </w:instrText>
      </w:r>
      <w:r>
        <w:rPr>
          <w:color w:val="auto"/>
        </w:rPr>
        <w:fldChar w:fldCharType="separate"/>
      </w:r>
      <w:r>
        <w:rPr>
          <w:color w:val="auto"/>
        </w:rPr>
        <w:t>13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"_Toc124612903" </w:instrText>
      </w:r>
      <w:r>
        <w:rPr>
          <w:color w:val="auto"/>
        </w:rPr>
        <w:fldChar w:fldCharType="separate"/>
      </w:r>
      <w:r>
        <w:rPr>
          <w:rStyle w:val="54"/>
          <w:color w:val="auto"/>
        </w:rPr>
        <w:t>6. 答疑时间、递交投标文件时间、开标时间及地点</w:t>
      </w:r>
      <w:r>
        <w:rPr>
          <w:color w:val="auto"/>
        </w:rPr>
        <w:tab/>
      </w:r>
      <w:r>
        <w:rPr>
          <w:color w:val="auto"/>
        </w:rPr>
        <w:fldChar w:fldCharType="begin"/>
      </w:r>
      <w:r>
        <w:rPr>
          <w:color w:val="auto"/>
        </w:rPr>
        <w:instrText xml:space="preserve"> PAGEREF _Toc124612903 \h </w:instrText>
      </w:r>
      <w:r>
        <w:rPr>
          <w:color w:val="auto"/>
        </w:rPr>
        <w:fldChar w:fldCharType="separate"/>
      </w:r>
      <w:r>
        <w:rPr>
          <w:color w:val="auto"/>
        </w:rPr>
        <w:t>13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"_Toc124612904" </w:instrText>
      </w:r>
      <w:r>
        <w:rPr>
          <w:color w:val="auto"/>
        </w:rPr>
        <w:fldChar w:fldCharType="separate"/>
      </w:r>
      <w:r>
        <w:rPr>
          <w:rStyle w:val="54"/>
          <w:color w:val="auto"/>
        </w:rPr>
        <w:t>7. 投标相关事宜</w:t>
      </w:r>
      <w:r>
        <w:rPr>
          <w:color w:val="auto"/>
        </w:rPr>
        <w:tab/>
      </w:r>
      <w:r>
        <w:rPr>
          <w:color w:val="auto"/>
        </w:rPr>
        <w:fldChar w:fldCharType="begin"/>
      </w:r>
      <w:r>
        <w:rPr>
          <w:color w:val="auto"/>
        </w:rPr>
        <w:instrText xml:space="preserve"> PAGEREF _Toc124612904 \h </w:instrText>
      </w:r>
      <w:r>
        <w:rPr>
          <w:color w:val="auto"/>
        </w:rPr>
        <w:fldChar w:fldCharType="separate"/>
      </w:r>
      <w:r>
        <w:rPr>
          <w:color w:val="auto"/>
        </w:rPr>
        <w:t>14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"_Toc124612905" </w:instrText>
      </w:r>
      <w:r>
        <w:rPr>
          <w:color w:val="auto"/>
        </w:rPr>
        <w:fldChar w:fldCharType="separate"/>
      </w:r>
      <w:r>
        <w:rPr>
          <w:rStyle w:val="54"/>
          <w:color w:val="auto"/>
        </w:rPr>
        <w:t>8. 电子交易规则</w:t>
      </w:r>
      <w:r>
        <w:rPr>
          <w:color w:val="auto"/>
        </w:rPr>
        <w:tab/>
      </w:r>
      <w:r>
        <w:rPr>
          <w:color w:val="auto"/>
        </w:rPr>
        <w:fldChar w:fldCharType="begin"/>
      </w:r>
      <w:r>
        <w:rPr>
          <w:color w:val="auto"/>
        </w:rPr>
        <w:instrText xml:space="preserve"> PAGEREF _Toc124612905 \h </w:instrText>
      </w:r>
      <w:r>
        <w:rPr>
          <w:color w:val="auto"/>
        </w:rPr>
        <w:fldChar w:fldCharType="separate"/>
      </w:r>
      <w:r>
        <w:rPr>
          <w:color w:val="auto"/>
        </w:rPr>
        <w:t>14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"_Toc124612906" </w:instrText>
      </w:r>
      <w:r>
        <w:rPr>
          <w:color w:val="auto"/>
        </w:rPr>
        <w:fldChar w:fldCharType="separate"/>
      </w:r>
      <w:r>
        <w:rPr>
          <w:rStyle w:val="54"/>
          <w:color w:val="auto"/>
        </w:rPr>
        <w:t>9. 发布公告的媒介</w:t>
      </w:r>
      <w:r>
        <w:rPr>
          <w:color w:val="auto"/>
        </w:rPr>
        <w:tab/>
      </w:r>
      <w:r>
        <w:rPr>
          <w:color w:val="auto"/>
        </w:rPr>
        <w:fldChar w:fldCharType="begin"/>
      </w:r>
      <w:r>
        <w:rPr>
          <w:color w:val="auto"/>
        </w:rPr>
        <w:instrText xml:space="preserve"> PAGEREF _Toc124612906 \h </w:instrText>
      </w:r>
      <w:r>
        <w:rPr>
          <w:color w:val="auto"/>
        </w:rPr>
        <w:fldChar w:fldCharType="separate"/>
      </w:r>
      <w:r>
        <w:rPr>
          <w:color w:val="auto"/>
        </w:rPr>
        <w:t>14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"_Toc124612907" </w:instrText>
      </w:r>
      <w:r>
        <w:rPr>
          <w:color w:val="auto"/>
        </w:rPr>
        <w:fldChar w:fldCharType="separate"/>
      </w:r>
      <w:r>
        <w:rPr>
          <w:rStyle w:val="54"/>
          <w:color w:val="auto"/>
        </w:rPr>
        <w:t>10. 联系方式</w:t>
      </w:r>
      <w:r>
        <w:rPr>
          <w:color w:val="auto"/>
        </w:rPr>
        <w:tab/>
      </w:r>
      <w:r>
        <w:rPr>
          <w:color w:val="auto"/>
        </w:rPr>
        <w:fldChar w:fldCharType="begin"/>
      </w:r>
      <w:r>
        <w:rPr>
          <w:color w:val="auto"/>
        </w:rPr>
        <w:instrText xml:space="preserve"> PAGEREF _Toc124612907 \h </w:instrText>
      </w:r>
      <w:r>
        <w:rPr>
          <w:color w:val="auto"/>
        </w:rPr>
        <w:fldChar w:fldCharType="separate"/>
      </w:r>
      <w:r>
        <w:rPr>
          <w:color w:val="auto"/>
        </w:rPr>
        <w:t>14</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"_Toc124612908" </w:instrText>
      </w:r>
      <w:r>
        <w:rPr>
          <w:color w:val="auto"/>
        </w:rPr>
        <w:fldChar w:fldCharType="separate"/>
      </w:r>
      <w:r>
        <w:rPr>
          <w:rStyle w:val="54"/>
          <w:color w:val="auto"/>
        </w:rPr>
        <w:t>第二章 投标须知</w:t>
      </w:r>
      <w:r>
        <w:rPr>
          <w:color w:val="auto"/>
        </w:rPr>
        <w:tab/>
      </w:r>
      <w:r>
        <w:rPr>
          <w:color w:val="auto"/>
        </w:rPr>
        <w:fldChar w:fldCharType="begin"/>
      </w:r>
      <w:r>
        <w:rPr>
          <w:color w:val="auto"/>
        </w:rPr>
        <w:instrText xml:space="preserve"> PAGEREF _Toc124612908 \h </w:instrText>
      </w:r>
      <w:r>
        <w:rPr>
          <w:color w:val="auto"/>
        </w:rPr>
        <w:fldChar w:fldCharType="separate"/>
      </w:r>
      <w:r>
        <w:rPr>
          <w:color w:val="auto"/>
        </w:rPr>
        <w:t>16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"_Toc124612909" </w:instrText>
      </w:r>
      <w:r>
        <w:rPr>
          <w:color w:val="auto"/>
        </w:rPr>
        <w:fldChar w:fldCharType="separate"/>
      </w:r>
      <w:r>
        <w:rPr>
          <w:rStyle w:val="54"/>
          <w:color w:val="auto"/>
        </w:rPr>
        <w:t>投标须知前附表</w:t>
      </w:r>
      <w:r>
        <w:rPr>
          <w:color w:val="auto"/>
        </w:rPr>
        <w:tab/>
      </w:r>
      <w:r>
        <w:rPr>
          <w:color w:val="auto"/>
        </w:rPr>
        <w:fldChar w:fldCharType="begin"/>
      </w:r>
      <w:r>
        <w:rPr>
          <w:color w:val="auto"/>
        </w:rPr>
        <w:instrText xml:space="preserve"> PAGEREF _Toc124612909 \h </w:instrText>
      </w:r>
      <w:r>
        <w:rPr>
          <w:color w:val="auto"/>
        </w:rPr>
        <w:fldChar w:fldCharType="separate"/>
      </w:r>
      <w:r>
        <w:rPr>
          <w:color w:val="auto"/>
        </w:rPr>
        <w:t>16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"_Toc124612910" </w:instrText>
      </w:r>
      <w:r>
        <w:rPr>
          <w:color w:val="auto"/>
        </w:rPr>
        <w:fldChar w:fldCharType="separate"/>
      </w:r>
      <w:r>
        <w:rPr>
          <w:rStyle w:val="54"/>
          <w:color w:val="auto"/>
        </w:rPr>
        <w:t>1. 总则</w:t>
      </w:r>
      <w:r>
        <w:rPr>
          <w:color w:val="auto"/>
        </w:rPr>
        <w:tab/>
      </w:r>
      <w:r>
        <w:rPr>
          <w:color w:val="auto"/>
        </w:rPr>
        <w:fldChar w:fldCharType="begin"/>
      </w:r>
      <w:r>
        <w:rPr>
          <w:color w:val="auto"/>
        </w:rPr>
        <w:instrText xml:space="preserve"> PAGEREF _Toc124612910 \h </w:instrText>
      </w:r>
      <w:r>
        <w:rPr>
          <w:color w:val="auto"/>
        </w:rPr>
        <w:fldChar w:fldCharType="separate"/>
      </w:r>
      <w:r>
        <w:rPr>
          <w:color w:val="auto"/>
        </w:rPr>
        <w:t>25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"_Toc124612911" </w:instrText>
      </w:r>
      <w:r>
        <w:rPr>
          <w:color w:val="auto"/>
        </w:rPr>
        <w:fldChar w:fldCharType="separate"/>
      </w:r>
      <w:r>
        <w:rPr>
          <w:rStyle w:val="54"/>
          <w:color w:val="auto"/>
        </w:rPr>
        <w:t>1.1 项目概况</w:t>
      </w:r>
      <w:r>
        <w:rPr>
          <w:color w:val="auto"/>
        </w:rPr>
        <w:tab/>
      </w:r>
      <w:r>
        <w:rPr>
          <w:color w:val="auto"/>
        </w:rPr>
        <w:fldChar w:fldCharType="begin"/>
      </w:r>
      <w:r>
        <w:rPr>
          <w:color w:val="auto"/>
        </w:rPr>
        <w:instrText xml:space="preserve"> PAGEREF _Toc124612911 \h </w:instrText>
      </w:r>
      <w:r>
        <w:rPr>
          <w:color w:val="auto"/>
        </w:rPr>
        <w:fldChar w:fldCharType="separate"/>
      </w:r>
      <w:r>
        <w:rPr>
          <w:color w:val="auto"/>
        </w:rPr>
        <w:t>25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"_Toc124612912" </w:instrText>
      </w:r>
      <w:r>
        <w:rPr>
          <w:color w:val="auto"/>
        </w:rPr>
        <w:fldChar w:fldCharType="separate"/>
      </w:r>
      <w:r>
        <w:rPr>
          <w:rStyle w:val="54"/>
          <w:color w:val="auto"/>
        </w:rPr>
        <w:t>1.2 资金来源和落实情况</w:t>
      </w:r>
      <w:r>
        <w:rPr>
          <w:color w:val="auto"/>
        </w:rPr>
        <w:tab/>
      </w:r>
      <w:r>
        <w:rPr>
          <w:color w:val="auto"/>
        </w:rPr>
        <w:fldChar w:fldCharType="begin"/>
      </w:r>
      <w:r>
        <w:rPr>
          <w:color w:val="auto"/>
        </w:rPr>
        <w:instrText xml:space="preserve"> PAGEREF _Toc124612912 \h </w:instrText>
      </w:r>
      <w:r>
        <w:rPr>
          <w:color w:val="auto"/>
        </w:rPr>
        <w:fldChar w:fldCharType="separate"/>
      </w:r>
      <w:r>
        <w:rPr>
          <w:color w:val="auto"/>
        </w:rPr>
        <w:t>25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"_Toc124612913" </w:instrText>
      </w:r>
      <w:r>
        <w:rPr>
          <w:color w:val="auto"/>
        </w:rPr>
        <w:fldChar w:fldCharType="separate"/>
      </w:r>
      <w:r>
        <w:rPr>
          <w:rStyle w:val="54"/>
          <w:color w:val="auto"/>
        </w:rPr>
        <w:t>1.3 招标范围、计划工期、质量要求</w:t>
      </w:r>
      <w:r>
        <w:rPr>
          <w:color w:val="auto"/>
        </w:rPr>
        <w:tab/>
      </w:r>
      <w:r>
        <w:rPr>
          <w:color w:val="auto"/>
        </w:rPr>
        <w:fldChar w:fldCharType="begin"/>
      </w:r>
      <w:r>
        <w:rPr>
          <w:color w:val="auto"/>
        </w:rPr>
        <w:instrText xml:space="preserve"> PAGEREF _Toc124612913 \h </w:instrText>
      </w:r>
      <w:r>
        <w:rPr>
          <w:color w:val="auto"/>
        </w:rPr>
        <w:fldChar w:fldCharType="separate"/>
      </w:r>
      <w:r>
        <w:rPr>
          <w:color w:val="auto"/>
        </w:rPr>
        <w:t>25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"_Toc124612914" </w:instrText>
      </w:r>
      <w:r>
        <w:rPr>
          <w:color w:val="auto"/>
        </w:rPr>
        <w:fldChar w:fldCharType="separate"/>
      </w:r>
      <w:r>
        <w:rPr>
          <w:rStyle w:val="54"/>
          <w:color w:val="auto"/>
        </w:rPr>
        <w:t>1.4 投标人资格要求</w:t>
      </w:r>
      <w:r>
        <w:rPr>
          <w:color w:val="auto"/>
        </w:rPr>
        <w:tab/>
      </w:r>
      <w:r>
        <w:rPr>
          <w:color w:val="auto"/>
        </w:rPr>
        <w:fldChar w:fldCharType="begin"/>
      </w:r>
      <w:r>
        <w:rPr>
          <w:color w:val="auto"/>
        </w:rPr>
        <w:instrText xml:space="preserve"> PAGEREF _Toc124612914 \h </w:instrText>
      </w:r>
      <w:r>
        <w:rPr>
          <w:color w:val="auto"/>
        </w:rPr>
        <w:fldChar w:fldCharType="separate"/>
      </w:r>
      <w:r>
        <w:rPr>
          <w:color w:val="auto"/>
        </w:rPr>
        <w:t>25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"_Toc124612915" </w:instrText>
      </w:r>
      <w:r>
        <w:rPr>
          <w:color w:val="auto"/>
        </w:rPr>
        <w:fldChar w:fldCharType="separate"/>
      </w:r>
      <w:r>
        <w:rPr>
          <w:rStyle w:val="54"/>
          <w:color w:val="auto"/>
        </w:rPr>
        <w:t>1.5 费用承担</w:t>
      </w:r>
      <w:r>
        <w:rPr>
          <w:color w:val="auto"/>
        </w:rPr>
        <w:tab/>
      </w:r>
      <w:r>
        <w:rPr>
          <w:color w:val="auto"/>
        </w:rPr>
        <w:fldChar w:fldCharType="begin"/>
      </w:r>
      <w:r>
        <w:rPr>
          <w:color w:val="auto"/>
        </w:rPr>
        <w:instrText xml:space="preserve"> PAGEREF _Toc124612915 \h </w:instrText>
      </w:r>
      <w:r>
        <w:rPr>
          <w:color w:val="auto"/>
        </w:rPr>
        <w:fldChar w:fldCharType="separate"/>
      </w:r>
      <w:r>
        <w:rPr>
          <w:color w:val="auto"/>
        </w:rPr>
        <w:t>26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"_Toc124612916" </w:instrText>
      </w:r>
      <w:r>
        <w:rPr>
          <w:color w:val="auto"/>
        </w:rPr>
        <w:fldChar w:fldCharType="separate"/>
      </w:r>
      <w:r>
        <w:rPr>
          <w:rStyle w:val="54"/>
          <w:color w:val="auto"/>
        </w:rPr>
        <w:t>1.6 保密</w:t>
      </w:r>
      <w:r>
        <w:rPr>
          <w:color w:val="auto"/>
        </w:rPr>
        <w:tab/>
      </w:r>
      <w:r>
        <w:rPr>
          <w:color w:val="auto"/>
        </w:rPr>
        <w:fldChar w:fldCharType="begin"/>
      </w:r>
      <w:r>
        <w:rPr>
          <w:color w:val="auto"/>
        </w:rPr>
        <w:instrText xml:space="preserve"> PAGEREF _Toc124612916 \h </w:instrText>
      </w:r>
      <w:r>
        <w:rPr>
          <w:color w:val="auto"/>
        </w:rPr>
        <w:fldChar w:fldCharType="separate"/>
      </w:r>
      <w:r>
        <w:rPr>
          <w:color w:val="auto"/>
        </w:rPr>
        <w:t>26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"_Toc124612917" </w:instrText>
      </w:r>
      <w:r>
        <w:rPr>
          <w:color w:val="auto"/>
        </w:rPr>
        <w:fldChar w:fldCharType="separate"/>
      </w:r>
      <w:r>
        <w:rPr>
          <w:rStyle w:val="54"/>
          <w:color w:val="auto"/>
        </w:rPr>
        <w:t>1.7 语言文字</w:t>
      </w:r>
      <w:r>
        <w:rPr>
          <w:color w:val="auto"/>
        </w:rPr>
        <w:tab/>
      </w:r>
      <w:r>
        <w:rPr>
          <w:color w:val="auto"/>
        </w:rPr>
        <w:fldChar w:fldCharType="begin"/>
      </w:r>
      <w:r>
        <w:rPr>
          <w:color w:val="auto"/>
        </w:rPr>
        <w:instrText xml:space="preserve"> PAGEREF _Toc124612917 \h </w:instrText>
      </w:r>
      <w:r>
        <w:rPr>
          <w:color w:val="auto"/>
        </w:rPr>
        <w:fldChar w:fldCharType="separate"/>
      </w:r>
      <w:r>
        <w:rPr>
          <w:color w:val="auto"/>
        </w:rPr>
        <w:t>26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"_Toc124612918" </w:instrText>
      </w:r>
      <w:r>
        <w:rPr>
          <w:color w:val="auto"/>
        </w:rPr>
        <w:fldChar w:fldCharType="separate"/>
      </w:r>
      <w:r>
        <w:rPr>
          <w:rStyle w:val="54"/>
          <w:color w:val="auto"/>
        </w:rPr>
        <w:t>1.8 计量单位</w:t>
      </w:r>
      <w:r>
        <w:rPr>
          <w:color w:val="auto"/>
        </w:rPr>
        <w:tab/>
      </w:r>
      <w:r>
        <w:rPr>
          <w:color w:val="auto"/>
        </w:rPr>
        <w:fldChar w:fldCharType="begin"/>
      </w:r>
      <w:r>
        <w:rPr>
          <w:color w:val="auto"/>
        </w:rPr>
        <w:instrText xml:space="preserve"> PAGEREF _Toc124612918 \h </w:instrText>
      </w:r>
      <w:r>
        <w:rPr>
          <w:color w:val="auto"/>
        </w:rPr>
        <w:fldChar w:fldCharType="separate"/>
      </w:r>
      <w:r>
        <w:rPr>
          <w:color w:val="auto"/>
        </w:rPr>
        <w:t>26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"_Toc124612919" </w:instrText>
      </w:r>
      <w:r>
        <w:rPr>
          <w:color w:val="auto"/>
        </w:rPr>
        <w:fldChar w:fldCharType="separate"/>
      </w:r>
      <w:r>
        <w:rPr>
          <w:rStyle w:val="54"/>
          <w:color w:val="auto"/>
        </w:rPr>
        <w:t>1.9 踏勘现场</w:t>
      </w:r>
      <w:r>
        <w:rPr>
          <w:color w:val="auto"/>
        </w:rPr>
        <w:tab/>
      </w:r>
      <w:r>
        <w:rPr>
          <w:color w:val="auto"/>
        </w:rPr>
        <w:fldChar w:fldCharType="begin"/>
      </w:r>
      <w:r>
        <w:rPr>
          <w:color w:val="auto"/>
        </w:rPr>
        <w:instrText xml:space="preserve"> PAGEREF _Toc124612919 \h </w:instrText>
      </w:r>
      <w:r>
        <w:rPr>
          <w:color w:val="auto"/>
        </w:rPr>
        <w:fldChar w:fldCharType="separate"/>
      </w:r>
      <w:r>
        <w:rPr>
          <w:color w:val="auto"/>
        </w:rPr>
        <w:t>27</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"_Toc124612920" </w:instrText>
      </w:r>
      <w:r>
        <w:rPr>
          <w:color w:val="auto"/>
        </w:rPr>
        <w:fldChar w:fldCharType="separate"/>
      </w:r>
      <w:r>
        <w:rPr>
          <w:rStyle w:val="54"/>
          <w:color w:val="auto"/>
        </w:rPr>
        <w:t>1.10 投标预备会</w:t>
      </w:r>
      <w:r>
        <w:rPr>
          <w:color w:val="auto"/>
        </w:rPr>
        <w:tab/>
      </w:r>
      <w:r>
        <w:rPr>
          <w:color w:val="auto"/>
        </w:rPr>
        <w:fldChar w:fldCharType="begin"/>
      </w:r>
      <w:r>
        <w:rPr>
          <w:color w:val="auto"/>
        </w:rPr>
        <w:instrText xml:space="preserve"> PAGEREF _Toc124612920 \h </w:instrText>
      </w:r>
      <w:r>
        <w:rPr>
          <w:color w:val="auto"/>
        </w:rPr>
        <w:fldChar w:fldCharType="separate"/>
      </w:r>
      <w:r>
        <w:rPr>
          <w:color w:val="auto"/>
        </w:rPr>
        <w:t>27</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"_Toc124612921" </w:instrText>
      </w:r>
      <w:r>
        <w:rPr>
          <w:color w:val="auto"/>
        </w:rPr>
        <w:fldChar w:fldCharType="separate"/>
      </w:r>
      <w:r>
        <w:rPr>
          <w:rStyle w:val="54"/>
          <w:color w:val="auto"/>
        </w:rPr>
        <w:t>1.11 偏离</w:t>
      </w:r>
      <w:r>
        <w:rPr>
          <w:color w:val="auto"/>
        </w:rPr>
        <w:tab/>
      </w:r>
      <w:r>
        <w:rPr>
          <w:color w:val="auto"/>
        </w:rPr>
        <w:fldChar w:fldCharType="begin"/>
      </w:r>
      <w:r>
        <w:rPr>
          <w:color w:val="auto"/>
        </w:rPr>
        <w:instrText xml:space="preserve"> PAGEREF _Toc124612921 \h </w:instrText>
      </w:r>
      <w:r>
        <w:rPr>
          <w:color w:val="auto"/>
        </w:rPr>
        <w:fldChar w:fldCharType="separate"/>
      </w:r>
      <w:r>
        <w:rPr>
          <w:color w:val="auto"/>
        </w:rPr>
        <w:t>27</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"_Toc124612922" </w:instrText>
      </w:r>
      <w:r>
        <w:rPr>
          <w:color w:val="auto"/>
        </w:rPr>
        <w:fldChar w:fldCharType="separate"/>
      </w:r>
      <w:r>
        <w:rPr>
          <w:rStyle w:val="54"/>
          <w:color w:val="auto"/>
        </w:rPr>
        <w:t>1.12 分包</w:t>
      </w:r>
      <w:r>
        <w:rPr>
          <w:color w:val="auto"/>
        </w:rPr>
        <w:tab/>
      </w:r>
      <w:r>
        <w:rPr>
          <w:color w:val="auto"/>
        </w:rPr>
        <w:fldChar w:fldCharType="begin"/>
      </w:r>
      <w:r>
        <w:rPr>
          <w:color w:val="auto"/>
        </w:rPr>
        <w:instrText xml:space="preserve"> PAGEREF _Toc124612922 \h </w:instrText>
      </w:r>
      <w:r>
        <w:rPr>
          <w:color w:val="auto"/>
        </w:rPr>
        <w:fldChar w:fldCharType="separate"/>
      </w:r>
      <w:r>
        <w:rPr>
          <w:color w:val="auto"/>
        </w:rPr>
        <w:t>27</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"_Toc124612923" </w:instrText>
      </w:r>
      <w:r>
        <w:rPr>
          <w:color w:val="auto"/>
        </w:rPr>
        <w:fldChar w:fldCharType="separate"/>
      </w:r>
      <w:r>
        <w:rPr>
          <w:rStyle w:val="54"/>
          <w:color w:val="auto"/>
        </w:rPr>
        <w:t>2. 招标文件</w:t>
      </w:r>
      <w:r>
        <w:rPr>
          <w:color w:val="auto"/>
        </w:rPr>
        <w:tab/>
      </w:r>
      <w:r>
        <w:rPr>
          <w:color w:val="auto"/>
        </w:rPr>
        <w:fldChar w:fldCharType="begin"/>
      </w:r>
      <w:r>
        <w:rPr>
          <w:color w:val="auto"/>
        </w:rPr>
        <w:instrText xml:space="preserve"> PAGEREF _Toc124612923 \h </w:instrText>
      </w:r>
      <w:r>
        <w:rPr>
          <w:color w:val="auto"/>
        </w:rPr>
        <w:fldChar w:fldCharType="separate"/>
      </w:r>
      <w:r>
        <w:rPr>
          <w:color w:val="auto"/>
        </w:rPr>
        <w:t>28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"_Toc124612924" </w:instrText>
      </w:r>
      <w:r>
        <w:rPr>
          <w:color w:val="auto"/>
        </w:rPr>
        <w:fldChar w:fldCharType="separate"/>
      </w:r>
      <w:r>
        <w:rPr>
          <w:rStyle w:val="54"/>
          <w:color w:val="auto"/>
        </w:rPr>
        <w:t>2.1 招标文件的组成</w:t>
      </w:r>
      <w:r>
        <w:rPr>
          <w:color w:val="auto"/>
        </w:rPr>
        <w:tab/>
      </w:r>
      <w:r>
        <w:rPr>
          <w:color w:val="auto"/>
        </w:rPr>
        <w:fldChar w:fldCharType="begin"/>
      </w:r>
      <w:r>
        <w:rPr>
          <w:color w:val="auto"/>
        </w:rPr>
        <w:instrText xml:space="preserve"> PAGEREF _Toc124612924 \h </w:instrText>
      </w:r>
      <w:r>
        <w:rPr>
          <w:color w:val="auto"/>
        </w:rPr>
        <w:fldChar w:fldCharType="separate"/>
      </w:r>
      <w:r>
        <w:rPr>
          <w:color w:val="auto"/>
        </w:rPr>
        <w:t>28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"_Toc124612925" </w:instrText>
      </w:r>
      <w:r>
        <w:rPr>
          <w:color w:val="auto"/>
        </w:rPr>
        <w:fldChar w:fldCharType="separate"/>
      </w:r>
      <w:r>
        <w:rPr>
          <w:rStyle w:val="54"/>
          <w:color w:val="auto"/>
        </w:rPr>
        <w:t>2.2 招标文件的澄清</w:t>
      </w:r>
      <w:r>
        <w:rPr>
          <w:color w:val="auto"/>
        </w:rPr>
        <w:tab/>
      </w:r>
      <w:r>
        <w:rPr>
          <w:color w:val="auto"/>
        </w:rPr>
        <w:fldChar w:fldCharType="begin"/>
      </w:r>
      <w:r>
        <w:rPr>
          <w:color w:val="auto"/>
        </w:rPr>
        <w:instrText xml:space="preserve"> PAGEREF _Toc124612925 \h </w:instrText>
      </w:r>
      <w:r>
        <w:rPr>
          <w:color w:val="auto"/>
        </w:rPr>
        <w:fldChar w:fldCharType="separate"/>
      </w:r>
      <w:r>
        <w:rPr>
          <w:color w:val="auto"/>
        </w:rPr>
        <w:t>28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"_Toc124612926" </w:instrText>
      </w:r>
      <w:r>
        <w:rPr>
          <w:color w:val="auto"/>
        </w:rPr>
        <w:fldChar w:fldCharType="separate"/>
      </w:r>
      <w:r>
        <w:rPr>
          <w:rStyle w:val="54"/>
          <w:color w:val="auto"/>
        </w:rPr>
        <w:t>2.3 招标文件的修改</w:t>
      </w:r>
      <w:r>
        <w:rPr>
          <w:color w:val="auto"/>
        </w:rPr>
        <w:tab/>
      </w:r>
      <w:r>
        <w:rPr>
          <w:color w:val="auto"/>
        </w:rPr>
        <w:fldChar w:fldCharType="begin"/>
      </w:r>
      <w:r>
        <w:rPr>
          <w:color w:val="auto"/>
        </w:rPr>
        <w:instrText xml:space="preserve"> PAGEREF _Toc124612926 \h </w:instrText>
      </w:r>
      <w:r>
        <w:rPr>
          <w:color w:val="auto"/>
        </w:rPr>
        <w:fldChar w:fldCharType="separate"/>
      </w:r>
      <w:r>
        <w:rPr>
          <w:color w:val="auto"/>
        </w:rPr>
        <w:t>28</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"_Toc124612927" </w:instrText>
      </w:r>
      <w:r>
        <w:rPr>
          <w:color w:val="auto"/>
        </w:rPr>
        <w:fldChar w:fldCharType="separate"/>
      </w:r>
      <w:r>
        <w:rPr>
          <w:rStyle w:val="54"/>
          <w:color w:val="auto"/>
        </w:rPr>
        <w:t>3. 投标文件</w:t>
      </w:r>
      <w:r>
        <w:rPr>
          <w:color w:val="auto"/>
        </w:rPr>
        <w:tab/>
      </w:r>
      <w:r>
        <w:rPr>
          <w:color w:val="auto"/>
        </w:rPr>
        <w:fldChar w:fldCharType="begin"/>
      </w:r>
      <w:r>
        <w:rPr>
          <w:color w:val="auto"/>
        </w:rPr>
        <w:instrText xml:space="preserve"> PAGEREF _Toc124612927 \h </w:instrText>
      </w:r>
      <w:r>
        <w:rPr>
          <w:color w:val="auto"/>
        </w:rPr>
        <w:fldChar w:fldCharType="separate"/>
      </w:r>
      <w:r>
        <w:rPr>
          <w:color w:val="auto"/>
        </w:rPr>
        <w:t>29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"_Toc124612928" </w:instrText>
      </w:r>
      <w:r>
        <w:rPr>
          <w:color w:val="auto"/>
        </w:rPr>
        <w:fldChar w:fldCharType="separate"/>
      </w:r>
      <w:r>
        <w:rPr>
          <w:rStyle w:val="54"/>
          <w:color w:val="auto"/>
        </w:rPr>
        <w:t>3.1 投标文件的组成</w:t>
      </w:r>
      <w:r>
        <w:rPr>
          <w:color w:val="auto"/>
        </w:rPr>
        <w:tab/>
      </w:r>
      <w:r>
        <w:rPr>
          <w:color w:val="auto"/>
        </w:rPr>
        <w:fldChar w:fldCharType="begin"/>
      </w:r>
      <w:r>
        <w:rPr>
          <w:color w:val="auto"/>
        </w:rPr>
        <w:instrText xml:space="preserve"> PAGEREF _Toc124612928 \h </w:instrText>
      </w:r>
      <w:r>
        <w:rPr>
          <w:color w:val="auto"/>
        </w:rPr>
        <w:fldChar w:fldCharType="separate"/>
      </w:r>
      <w:r>
        <w:rPr>
          <w:color w:val="auto"/>
        </w:rPr>
        <w:t>29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"_Toc124612929" </w:instrText>
      </w:r>
      <w:r>
        <w:rPr>
          <w:color w:val="auto"/>
        </w:rPr>
        <w:fldChar w:fldCharType="separate"/>
      </w:r>
      <w:r>
        <w:rPr>
          <w:rStyle w:val="54"/>
          <w:color w:val="auto"/>
        </w:rPr>
        <w:t>3.2 投标报价</w:t>
      </w:r>
      <w:r>
        <w:rPr>
          <w:color w:val="auto"/>
        </w:rPr>
        <w:tab/>
      </w:r>
      <w:r>
        <w:rPr>
          <w:color w:val="auto"/>
        </w:rPr>
        <w:fldChar w:fldCharType="begin"/>
      </w:r>
      <w:r>
        <w:rPr>
          <w:color w:val="auto"/>
        </w:rPr>
        <w:instrText xml:space="preserve"> PAGEREF _Toc124612929 \h </w:instrText>
      </w:r>
      <w:r>
        <w:rPr>
          <w:color w:val="auto"/>
        </w:rPr>
        <w:fldChar w:fldCharType="separate"/>
      </w:r>
      <w:r>
        <w:rPr>
          <w:color w:val="auto"/>
        </w:rPr>
        <w:t>30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"_Toc124612930" </w:instrText>
      </w:r>
      <w:r>
        <w:rPr>
          <w:color w:val="auto"/>
        </w:rPr>
        <w:fldChar w:fldCharType="separate"/>
      </w:r>
      <w:r>
        <w:rPr>
          <w:rStyle w:val="54"/>
          <w:color w:val="auto"/>
        </w:rPr>
        <w:t>3.3 投标有效期</w:t>
      </w:r>
      <w:r>
        <w:rPr>
          <w:color w:val="auto"/>
        </w:rPr>
        <w:tab/>
      </w:r>
      <w:r>
        <w:rPr>
          <w:color w:val="auto"/>
        </w:rPr>
        <w:fldChar w:fldCharType="begin"/>
      </w:r>
      <w:r>
        <w:rPr>
          <w:color w:val="auto"/>
        </w:rPr>
        <w:instrText xml:space="preserve"> PAGEREF _Toc124612930 \h </w:instrText>
      </w:r>
      <w:r>
        <w:rPr>
          <w:color w:val="auto"/>
        </w:rPr>
        <w:fldChar w:fldCharType="separate"/>
      </w:r>
      <w:r>
        <w:rPr>
          <w:color w:val="auto"/>
        </w:rPr>
        <w:t>30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"_Toc124612931" </w:instrText>
      </w:r>
      <w:r>
        <w:rPr>
          <w:color w:val="auto"/>
        </w:rPr>
        <w:fldChar w:fldCharType="separate"/>
      </w:r>
      <w:r>
        <w:rPr>
          <w:rStyle w:val="54"/>
          <w:color w:val="auto"/>
        </w:rPr>
        <w:t>3.4 投标保证金</w:t>
      </w:r>
      <w:r>
        <w:rPr>
          <w:color w:val="auto"/>
        </w:rPr>
        <w:tab/>
      </w:r>
      <w:r>
        <w:rPr>
          <w:color w:val="auto"/>
        </w:rPr>
        <w:fldChar w:fldCharType="begin"/>
      </w:r>
      <w:r>
        <w:rPr>
          <w:color w:val="auto"/>
        </w:rPr>
        <w:instrText xml:space="preserve"> PAGEREF _Toc124612931 \h </w:instrText>
      </w:r>
      <w:r>
        <w:rPr>
          <w:color w:val="auto"/>
        </w:rPr>
        <w:fldChar w:fldCharType="separate"/>
      </w:r>
      <w:r>
        <w:rPr>
          <w:color w:val="auto"/>
        </w:rPr>
        <w:t>30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"_Toc124612932" </w:instrText>
      </w:r>
      <w:r>
        <w:rPr>
          <w:color w:val="auto"/>
        </w:rPr>
        <w:fldChar w:fldCharType="separate"/>
      </w:r>
      <w:r>
        <w:rPr>
          <w:rStyle w:val="54"/>
          <w:color w:val="auto"/>
        </w:rPr>
        <w:t>3.5 资格审查资料</w:t>
      </w:r>
      <w:r>
        <w:rPr>
          <w:color w:val="auto"/>
        </w:rPr>
        <w:tab/>
      </w:r>
      <w:r>
        <w:rPr>
          <w:color w:val="auto"/>
        </w:rPr>
        <w:fldChar w:fldCharType="begin"/>
      </w:r>
      <w:r>
        <w:rPr>
          <w:color w:val="auto"/>
        </w:rPr>
        <w:instrText xml:space="preserve"> PAGEREF _Toc124612932 \h </w:instrText>
      </w:r>
      <w:r>
        <w:rPr>
          <w:color w:val="auto"/>
        </w:rPr>
        <w:fldChar w:fldCharType="separate"/>
      </w:r>
      <w:r>
        <w:rPr>
          <w:color w:val="auto"/>
        </w:rPr>
        <w:t>31</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"_Toc124612933" </w:instrText>
      </w:r>
      <w:r>
        <w:rPr>
          <w:color w:val="auto"/>
        </w:rPr>
        <w:fldChar w:fldCharType="separate"/>
      </w:r>
      <w:r>
        <w:rPr>
          <w:rStyle w:val="54"/>
          <w:color w:val="auto"/>
        </w:rPr>
        <w:t>3.6投标文件的编制</w:t>
      </w:r>
      <w:r>
        <w:rPr>
          <w:color w:val="auto"/>
        </w:rPr>
        <w:tab/>
      </w:r>
      <w:r>
        <w:rPr>
          <w:color w:val="auto"/>
        </w:rPr>
        <w:fldChar w:fldCharType="begin"/>
      </w:r>
      <w:r>
        <w:rPr>
          <w:color w:val="auto"/>
        </w:rPr>
        <w:instrText xml:space="preserve"> PAGEREF _Toc124612933 \h </w:instrText>
      </w:r>
      <w:r>
        <w:rPr>
          <w:color w:val="auto"/>
        </w:rPr>
        <w:fldChar w:fldCharType="separate"/>
      </w:r>
      <w:r>
        <w:rPr>
          <w:color w:val="auto"/>
        </w:rPr>
        <w:t>31</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"_Toc124612934" </w:instrText>
      </w:r>
      <w:r>
        <w:rPr>
          <w:color w:val="auto"/>
        </w:rPr>
        <w:fldChar w:fldCharType="separate"/>
      </w:r>
      <w:r>
        <w:rPr>
          <w:rStyle w:val="54"/>
          <w:color w:val="auto"/>
        </w:rPr>
        <w:t>4. 投标</w:t>
      </w:r>
      <w:r>
        <w:rPr>
          <w:color w:val="auto"/>
        </w:rPr>
        <w:tab/>
      </w:r>
      <w:r>
        <w:rPr>
          <w:color w:val="auto"/>
        </w:rPr>
        <w:fldChar w:fldCharType="begin"/>
      </w:r>
      <w:r>
        <w:rPr>
          <w:color w:val="auto"/>
        </w:rPr>
        <w:instrText xml:space="preserve"> PAGEREF _Toc124612934 \h </w:instrText>
      </w:r>
      <w:r>
        <w:rPr>
          <w:color w:val="auto"/>
        </w:rPr>
        <w:fldChar w:fldCharType="separate"/>
      </w:r>
      <w:r>
        <w:rPr>
          <w:color w:val="auto"/>
        </w:rPr>
        <w:t>32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"_Toc124612935" </w:instrText>
      </w:r>
      <w:r>
        <w:rPr>
          <w:color w:val="auto"/>
        </w:rPr>
        <w:fldChar w:fldCharType="separate"/>
      </w:r>
      <w:r>
        <w:rPr>
          <w:rStyle w:val="54"/>
          <w:color w:val="auto"/>
        </w:rPr>
        <w:t>4.1 投标文件的密封和标记</w:t>
      </w:r>
      <w:r>
        <w:rPr>
          <w:color w:val="auto"/>
        </w:rPr>
        <w:tab/>
      </w:r>
      <w:r>
        <w:rPr>
          <w:color w:val="auto"/>
        </w:rPr>
        <w:fldChar w:fldCharType="begin"/>
      </w:r>
      <w:r>
        <w:rPr>
          <w:color w:val="auto"/>
        </w:rPr>
        <w:instrText xml:space="preserve"> PAGEREF _Toc124612935 \h </w:instrText>
      </w:r>
      <w:r>
        <w:rPr>
          <w:color w:val="auto"/>
        </w:rPr>
        <w:fldChar w:fldCharType="separate"/>
      </w:r>
      <w:r>
        <w:rPr>
          <w:color w:val="auto"/>
        </w:rPr>
        <w:t>32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"_Toc124612936" </w:instrText>
      </w:r>
      <w:r>
        <w:rPr>
          <w:color w:val="auto"/>
        </w:rPr>
        <w:fldChar w:fldCharType="separate"/>
      </w:r>
      <w:r>
        <w:rPr>
          <w:rStyle w:val="54"/>
          <w:color w:val="auto"/>
        </w:rPr>
        <w:t>4.2 投标文件的递交</w:t>
      </w:r>
      <w:r>
        <w:rPr>
          <w:color w:val="auto"/>
        </w:rPr>
        <w:tab/>
      </w:r>
      <w:r>
        <w:rPr>
          <w:color w:val="auto"/>
        </w:rPr>
        <w:fldChar w:fldCharType="begin"/>
      </w:r>
      <w:r>
        <w:rPr>
          <w:color w:val="auto"/>
        </w:rPr>
        <w:instrText xml:space="preserve"> PAGEREF _Toc124612936 \h </w:instrText>
      </w:r>
      <w:r>
        <w:rPr>
          <w:color w:val="auto"/>
        </w:rPr>
        <w:fldChar w:fldCharType="separate"/>
      </w:r>
      <w:r>
        <w:rPr>
          <w:color w:val="auto"/>
        </w:rPr>
        <w:t>32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"_Toc124612937" </w:instrText>
      </w:r>
      <w:r>
        <w:rPr>
          <w:color w:val="auto"/>
        </w:rPr>
        <w:fldChar w:fldCharType="separate"/>
      </w:r>
      <w:r>
        <w:rPr>
          <w:rStyle w:val="54"/>
          <w:color w:val="auto"/>
        </w:rPr>
        <w:t>4.3 投标文件的修改与撤回</w:t>
      </w:r>
      <w:r>
        <w:rPr>
          <w:color w:val="auto"/>
        </w:rPr>
        <w:tab/>
      </w:r>
      <w:r>
        <w:rPr>
          <w:color w:val="auto"/>
        </w:rPr>
        <w:fldChar w:fldCharType="begin"/>
      </w:r>
      <w:r>
        <w:rPr>
          <w:color w:val="auto"/>
        </w:rPr>
        <w:instrText xml:space="preserve"> PAGEREF _Toc124612937 \h </w:instrText>
      </w:r>
      <w:r>
        <w:rPr>
          <w:color w:val="auto"/>
        </w:rPr>
        <w:fldChar w:fldCharType="separate"/>
      </w:r>
      <w:r>
        <w:rPr>
          <w:color w:val="auto"/>
        </w:rPr>
        <w:t>32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"_Toc124612938" </w:instrText>
      </w:r>
      <w:r>
        <w:rPr>
          <w:color w:val="auto"/>
        </w:rPr>
        <w:fldChar w:fldCharType="separate"/>
      </w:r>
      <w:r>
        <w:rPr>
          <w:rStyle w:val="54"/>
          <w:color w:val="auto"/>
        </w:rPr>
        <w:t>5. 开标</w:t>
      </w:r>
      <w:r>
        <w:rPr>
          <w:color w:val="auto"/>
        </w:rPr>
        <w:tab/>
      </w:r>
      <w:r>
        <w:rPr>
          <w:color w:val="auto"/>
        </w:rPr>
        <w:fldChar w:fldCharType="begin"/>
      </w:r>
      <w:r>
        <w:rPr>
          <w:color w:val="auto"/>
        </w:rPr>
        <w:instrText xml:space="preserve"> PAGEREF _Toc124612938 \h </w:instrText>
      </w:r>
      <w:r>
        <w:rPr>
          <w:color w:val="auto"/>
        </w:rPr>
        <w:fldChar w:fldCharType="separate"/>
      </w:r>
      <w:r>
        <w:rPr>
          <w:color w:val="auto"/>
        </w:rPr>
        <w:t>32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"_Toc124612939" </w:instrText>
      </w:r>
      <w:r>
        <w:rPr>
          <w:color w:val="auto"/>
        </w:rPr>
        <w:fldChar w:fldCharType="separate"/>
      </w:r>
      <w:r>
        <w:rPr>
          <w:rStyle w:val="54"/>
          <w:color w:val="auto"/>
        </w:rPr>
        <w:t>5.1 开标时间和地点</w:t>
      </w:r>
      <w:r>
        <w:rPr>
          <w:color w:val="auto"/>
        </w:rPr>
        <w:tab/>
      </w:r>
      <w:r>
        <w:rPr>
          <w:color w:val="auto"/>
        </w:rPr>
        <w:fldChar w:fldCharType="begin"/>
      </w:r>
      <w:r>
        <w:rPr>
          <w:color w:val="auto"/>
        </w:rPr>
        <w:instrText xml:space="preserve"> PAGEREF _Toc124612939 \h </w:instrText>
      </w:r>
      <w:r>
        <w:rPr>
          <w:color w:val="auto"/>
        </w:rPr>
        <w:fldChar w:fldCharType="separate"/>
      </w:r>
      <w:r>
        <w:rPr>
          <w:color w:val="auto"/>
        </w:rPr>
        <w:t>32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"_Toc124612940" </w:instrText>
      </w:r>
      <w:r>
        <w:rPr>
          <w:color w:val="auto"/>
        </w:rPr>
        <w:fldChar w:fldCharType="separate"/>
      </w:r>
      <w:r>
        <w:rPr>
          <w:rStyle w:val="54"/>
          <w:color w:val="auto"/>
        </w:rPr>
        <w:t>5.2 开标程序</w:t>
      </w:r>
      <w:r>
        <w:rPr>
          <w:color w:val="auto"/>
        </w:rPr>
        <w:tab/>
      </w:r>
      <w:r>
        <w:rPr>
          <w:color w:val="auto"/>
        </w:rPr>
        <w:fldChar w:fldCharType="begin"/>
      </w:r>
      <w:r>
        <w:rPr>
          <w:color w:val="auto"/>
        </w:rPr>
        <w:instrText xml:space="preserve"> PAGEREF _Toc124612940 \h </w:instrText>
      </w:r>
      <w:r>
        <w:rPr>
          <w:color w:val="auto"/>
        </w:rPr>
        <w:fldChar w:fldCharType="separate"/>
      </w:r>
      <w:r>
        <w:rPr>
          <w:color w:val="auto"/>
        </w:rPr>
        <w:t>32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"_Toc124612941" </w:instrText>
      </w:r>
      <w:r>
        <w:rPr>
          <w:color w:val="auto"/>
        </w:rPr>
        <w:fldChar w:fldCharType="separate"/>
      </w:r>
      <w:r>
        <w:rPr>
          <w:rStyle w:val="54"/>
          <w:color w:val="auto"/>
        </w:rPr>
        <w:t>5.3 开标异议</w:t>
      </w:r>
      <w:r>
        <w:rPr>
          <w:color w:val="auto"/>
        </w:rPr>
        <w:tab/>
      </w:r>
      <w:r>
        <w:rPr>
          <w:color w:val="auto"/>
        </w:rPr>
        <w:fldChar w:fldCharType="begin"/>
      </w:r>
      <w:r>
        <w:rPr>
          <w:color w:val="auto"/>
        </w:rPr>
        <w:instrText xml:space="preserve"> PAGEREF _Toc124612941 \h </w:instrText>
      </w:r>
      <w:r>
        <w:rPr>
          <w:color w:val="auto"/>
        </w:rPr>
        <w:fldChar w:fldCharType="separate"/>
      </w:r>
      <w:r>
        <w:rPr>
          <w:color w:val="auto"/>
        </w:rPr>
        <w:t>33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"_Toc124612942" </w:instrText>
      </w:r>
      <w:r>
        <w:rPr>
          <w:color w:val="auto"/>
        </w:rPr>
        <w:fldChar w:fldCharType="separate"/>
      </w:r>
      <w:r>
        <w:rPr>
          <w:rStyle w:val="54"/>
          <w:color w:val="auto"/>
        </w:rPr>
        <w:t>6. 评标</w:t>
      </w:r>
      <w:r>
        <w:rPr>
          <w:color w:val="auto"/>
        </w:rPr>
        <w:tab/>
      </w:r>
      <w:r>
        <w:rPr>
          <w:color w:val="auto"/>
        </w:rPr>
        <w:fldChar w:fldCharType="begin"/>
      </w:r>
      <w:r>
        <w:rPr>
          <w:color w:val="auto"/>
        </w:rPr>
        <w:instrText xml:space="preserve"> PAGEREF _Toc124612942 \h </w:instrText>
      </w:r>
      <w:r>
        <w:rPr>
          <w:color w:val="auto"/>
        </w:rPr>
        <w:fldChar w:fldCharType="separate"/>
      </w:r>
      <w:r>
        <w:rPr>
          <w:color w:val="auto"/>
        </w:rPr>
        <w:t>33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"_Toc124612943" </w:instrText>
      </w:r>
      <w:r>
        <w:rPr>
          <w:color w:val="auto"/>
        </w:rPr>
        <w:fldChar w:fldCharType="separate"/>
      </w:r>
      <w:r>
        <w:rPr>
          <w:rStyle w:val="54"/>
          <w:color w:val="auto"/>
        </w:rPr>
        <w:t>6.1 评标委员会</w:t>
      </w:r>
      <w:r>
        <w:rPr>
          <w:color w:val="auto"/>
        </w:rPr>
        <w:tab/>
      </w:r>
      <w:r>
        <w:rPr>
          <w:color w:val="auto"/>
        </w:rPr>
        <w:fldChar w:fldCharType="begin"/>
      </w:r>
      <w:r>
        <w:rPr>
          <w:color w:val="auto"/>
        </w:rPr>
        <w:instrText xml:space="preserve"> PAGEREF _Toc124612943 \h </w:instrText>
      </w:r>
      <w:r>
        <w:rPr>
          <w:color w:val="auto"/>
        </w:rPr>
        <w:fldChar w:fldCharType="separate"/>
      </w:r>
      <w:r>
        <w:rPr>
          <w:color w:val="auto"/>
        </w:rPr>
        <w:t>33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"_Toc124612944" </w:instrText>
      </w:r>
      <w:r>
        <w:rPr>
          <w:color w:val="auto"/>
        </w:rPr>
        <w:fldChar w:fldCharType="separate"/>
      </w:r>
      <w:r>
        <w:rPr>
          <w:rStyle w:val="54"/>
          <w:color w:val="auto"/>
        </w:rPr>
        <w:t>6.2 评标原则</w:t>
      </w:r>
      <w:r>
        <w:rPr>
          <w:color w:val="auto"/>
        </w:rPr>
        <w:tab/>
      </w:r>
      <w:r>
        <w:rPr>
          <w:color w:val="auto"/>
        </w:rPr>
        <w:fldChar w:fldCharType="begin"/>
      </w:r>
      <w:r>
        <w:rPr>
          <w:color w:val="auto"/>
        </w:rPr>
        <w:instrText xml:space="preserve"> PAGEREF _Toc124612944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"_Toc124612945" </w:instrText>
      </w:r>
      <w:r>
        <w:rPr>
          <w:color w:val="auto"/>
        </w:rPr>
        <w:fldChar w:fldCharType="separate"/>
      </w:r>
      <w:r>
        <w:rPr>
          <w:rStyle w:val="54"/>
          <w:color w:val="auto"/>
        </w:rPr>
        <w:t>6.3 评标</w:t>
      </w:r>
      <w:r>
        <w:rPr>
          <w:color w:val="auto"/>
        </w:rPr>
        <w:tab/>
      </w:r>
      <w:r>
        <w:rPr>
          <w:color w:val="auto"/>
        </w:rPr>
        <w:fldChar w:fldCharType="begin"/>
      </w:r>
      <w:r>
        <w:rPr>
          <w:color w:val="auto"/>
        </w:rPr>
        <w:instrText xml:space="preserve"> PAGEREF _Toc124612945 \h </w:instrText>
      </w:r>
      <w:r>
        <w:rPr>
          <w:color w:val="auto"/>
        </w:rPr>
        <w:fldChar w:fldCharType="separate"/>
      </w:r>
      <w:r>
        <w:rPr>
          <w:color w:val="auto"/>
        </w:rPr>
        <w:t>34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"_Toc124612946" </w:instrText>
      </w:r>
      <w:r>
        <w:rPr>
          <w:color w:val="auto"/>
        </w:rPr>
        <w:fldChar w:fldCharType="separate"/>
      </w:r>
      <w:r>
        <w:rPr>
          <w:rStyle w:val="54"/>
          <w:color w:val="auto"/>
        </w:rPr>
        <w:t>7. 定标</w:t>
      </w:r>
      <w:r>
        <w:rPr>
          <w:color w:val="auto"/>
        </w:rPr>
        <w:tab/>
      </w:r>
      <w:r>
        <w:rPr>
          <w:color w:val="auto"/>
        </w:rPr>
        <w:fldChar w:fldCharType="begin"/>
      </w:r>
      <w:r>
        <w:rPr>
          <w:color w:val="auto"/>
        </w:rPr>
        <w:instrText xml:space="preserve"> PAGEREF _Toc124612946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"_Toc124612947" </w:instrText>
      </w:r>
      <w:r>
        <w:rPr>
          <w:color w:val="auto"/>
        </w:rPr>
        <w:fldChar w:fldCharType="separate"/>
      </w:r>
      <w:r>
        <w:rPr>
          <w:rStyle w:val="54"/>
          <w:color w:val="auto"/>
        </w:rPr>
        <w:t>7.1定标委员会组成</w:t>
      </w:r>
      <w:r>
        <w:rPr>
          <w:color w:val="auto"/>
        </w:rPr>
        <w:tab/>
      </w:r>
      <w:r>
        <w:rPr>
          <w:color w:val="auto"/>
        </w:rPr>
        <w:fldChar w:fldCharType="begin"/>
      </w:r>
      <w:r>
        <w:rPr>
          <w:color w:val="auto"/>
        </w:rPr>
        <w:instrText xml:space="preserve"> PAGEREF _Toc124612947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"_Toc124612948" </w:instrText>
      </w:r>
      <w:r>
        <w:rPr>
          <w:color w:val="auto"/>
        </w:rPr>
        <w:fldChar w:fldCharType="separate"/>
      </w:r>
      <w:r>
        <w:rPr>
          <w:rStyle w:val="54"/>
          <w:color w:val="auto"/>
        </w:rPr>
        <w:t>7.2定标因素</w:t>
      </w:r>
      <w:r>
        <w:rPr>
          <w:color w:val="auto"/>
        </w:rPr>
        <w:tab/>
      </w:r>
      <w:r>
        <w:rPr>
          <w:color w:val="auto"/>
        </w:rPr>
        <w:fldChar w:fldCharType="begin"/>
      </w:r>
      <w:r>
        <w:rPr>
          <w:color w:val="auto"/>
        </w:rPr>
        <w:instrText xml:space="preserve"> PAGEREF _Toc124612948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"_Toc124612949" </w:instrText>
      </w:r>
      <w:r>
        <w:rPr>
          <w:color w:val="auto"/>
        </w:rPr>
        <w:fldChar w:fldCharType="separate"/>
      </w:r>
      <w:r>
        <w:rPr>
          <w:rStyle w:val="54"/>
          <w:color w:val="auto"/>
        </w:rPr>
        <w:t>7.3定标方法</w:t>
      </w:r>
      <w:r>
        <w:rPr>
          <w:color w:val="auto"/>
        </w:rPr>
        <w:tab/>
      </w:r>
      <w:r>
        <w:rPr>
          <w:color w:val="auto"/>
        </w:rPr>
        <w:fldChar w:fldCharType="begin"/>
      </w:r>
      <w:r>
        <w:rPr>
          <w:color w:val="auto"/>
        </w:rPr>
        <w:instrText xml:space="preserve"> PAGEREF _Toc124612949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"_Toc124612950" </w:instrText>
      </w:r>
      <w:r>
        <w:rPr>
          <w:color w:val="auto"/>
        </w:rPr>
        <w:fldChar w:fldCharType="separate"/>
      </w:r>
      <w:r>
        <w:rPr>
          <w:rStyle w:val="54"/>
          <w:color w:val="auto"/>
        </w:rPr>
        <w:t>7.4定标时间、地点</w:t>
      </w:r>
      <w:r>
        <w:rPr>
          <w:color w:val="auto"/>
        </w:rPr>
        <w:tab/>
      </w:r>
      <w:r>
        <w:rPr>
          <w:color w:val="auto"/>
        </w:rPr>
        <w:fldChar w:fldCharType="begin"/>
      </w:r>
      <w:r>
        <w:rPr>
          <w:color w:val="auto"/>
        </w:rPr>
        <w:instrText xml:space="preserve"> PAGEREF _Toc124612950 \h </w:instrText>
      </w:r>
      <w:r>
        <w:rPr>
          <w:color w:val="auto"/>
        </w:rPr>
        <w:fldChar w:fldCharType="separate"/>
      </w:r>
      <w:r>
        <w:rPr>
          <w:color w:val="auto"/>
        </w:rPr>
        <w:t>34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"_Toc124612951" </w:instrText>
      </w:r>
      <w:r>
        <w:rPr>
          <w:color w:val="auto"/>
        </w:rPr>
        <w:fldChar w:fldCharType="separate"/>
      </w:r>
      <w:r>
        <w:rPr>
          <w:rStyle w:val="54"/>
          <w:color w:val="auto"/>
        </w:rPr>
        <w:t>8.合同授予</w:t>
      </w:r>
      <w:r>
        <w:rPr>
          <w:color w:val="auto"/>
        </w:rPr>
        <w:tab/>
      </w:r>
      <w:r>
        <w:rPr>
          <w:color w:val="auto"/>
        </w:rPr>
        <w:fldChar w:fldCharType="begin"/>
      </w:r>
      <w:r>
        <w:rPr>
          <w:color w:val="auto"/>
        </w:rPr>
        <w:instrText xml:space="preserve"> PAGEREF _Toc124612951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"_Toc124612952" </w:instrText>
      </w:r>
      <w:r>
        <w:rPr>
          <w:color w:val="auto"/>
        </w:rPr>
        <w:fldChar w:fldCharType="separate"/>
      </w:r>
      <w:r>
        <w:rPr>
          <w:rStyle w:val="54"/>
          <w:color w:val="auto"/>
        </w:rPr>
        <w:t>8.1 中标候选人公示</w:t>
      </w:r>
      <w:r>
        <w:rPr>
          <w:color w:val="auto"/>
        </w:rPr>
        <w:tab/>
      </w:r>
      <w:r>
        <w:rPr>
          <w:color w:val="auto"/>
        </w:rPr>
        <w:fldChar w:fldCharType="begin"/>
      </w:r>
      <w:r>
        <w:rPr>
          <w:color w:val="auto"/>
        </w:rPr>
        <w:instrText xml:space="preserve"> PAGEREF _Toc124612952 \h </w:instrText>
      </w:r>
      <w:r>
        <w:rPr>
          <w:color w:val="auto"/>
        </w:rPr>
        <w:fldChar w:fldCharType="separate"/>
      </w:r>
      <w:r>
        <w:rPr>
          <w:color w:val="auto"/>
        </w:rPr>
        <w:t>34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"_Toc124612953" </w:instrText>
      </w:r>
      <w:r>
        <w:rPr>
          <w:color w:val="auto"/>
        </w:rPr>
        <w:fldChar w:fldCharType="separate"/>
      </w:r>
      <w:r>
        <w:rPr>
          <w:rStyle w:val="54"/>
          <w:color w:val="auto"/>
        </w:rPr>
        <w:t>8.2 中标通知</w:t>
      </w:r>
      <w:r>
        <w:rPr>
          <w:color w:val="auto"/>
        </w:rPr>
        <w:tab/>
      </w:r>
      <w:r>
        <w:rPr>
          <w:color w:val="auto"/>
        </w:rPr>
        <w:fldChar w:fldCharType="begin"/>
      </w:r>
      <w:r>
        <w:rPr>
          <w:color w:val="auto"/>
        </w:rPr>
        <w:instrText xml:space="preserve"> PAGEREF _Toc124612953 \h </w:instrText>
      </w:r>
      <w:r>
        <w:rPr>
          <w:color w:val="auto"/>
        </w:rPr>
        <w:fldChar w:fldCharType="separate"/>
      </w:r>
      <w:r>
        <w:rPr>
          <w:color w:val="auto"/>
        </w:rPr>
        <w:t>35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"_Toc124612954" </w:instrText>
      </w:r>
      <w:r>
        <w:rPr>
          <w:color w:val="auto"/>
        </w:rPr>
        <w:fldChar w:fldCharType="separate"/>
      </w:r>
      <w:r>
        <w:rPr>
          <w:rStyle w:val="54"/>
          <w:color w:val="auto"/>
        </w:rPr>
        <w:t>8.3 履约担保</w:t>
      </w:r>
      <w:r>
        <w:rPr>
          <w:color w:val="auto"/>
        </w:rPr>
        <w:tab/>
      </w:r>
      <w:r>
        <w:rPr>
          <w:color w:val="auto"/>
        </w:rPr>
        <w:fldChar w:fldCharType="begin"/>
      </w:r>
      <w:r>
        <w:rPr>
          <w:color w:val="auto"/>
        </w:rPr>
        <w:instrText xml:space="preserve"> PAGEREF _Toc124612954 \h </w:instrText>
      </w:r>
      <w:r>
        <w:rPr>
          <w:color w:val="auto"/>
        </w:rPr>
        <w:fldChar w:fldCharType="separate"/>
      </w:r>
      <w:r>
        <w:rPr>
          <w:color w:val="auto"/>
        </w:rPr>
        <w:t>35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"_Toc124612955" </w:instrText>
      </w:r>
      <w:r>
        <w:rPr>
          <w:color w:val="auto"/>
        </w:rPr>
        <w:fldChar w:fldCharType="separate"/>
      </w:r>
      <w:r>
        <w:rPr>
          <w:rStyle w:val="54"/>
          <w:color w:val="auto"/>
        </w:rPr>
        <w:t>8.4 签订合同</w:t>
      </w:r>
      <w:r>
        <w:rPr>
          <w:color w:val="auto"/>
        </w:rPr>
        <w:tab/>
      </w:r>
      <w:r>
        <w:rPr>
          <w:color w:val="auto"/>
        </w:rPr>
        <w:fldChar w:fldCharType="begin"/>
      </w:r>
      <w:r>
        <w:rPr>
          <w:color w:val="auto"/>
        </w:rPr>
        <w:instrText xml:space="preserve"> PAGEREF _Toc124612955 \h </w:instrText>
      </w:r>
      <w:r>
        <w:rPr>
          <w:color w:val="auto"/>
        </w:rPr>
        <w:fldChar w:fldCharType="separate"/>
      </w:r>
      <w:r>
        <w:rPr>
          <w:color w:val="auto"/>
        </w:rPr>
        <w:t>35</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"_Toc124612956" </w:instrText>
      </w:r>
      <w:r>
        <w:rPr>
          <w:color w:val="auto"/>
        </w:rPr>
        <w:fldChar w:fldCharType="separate"/>
      </w:r>
      <w:r>
        <w:rPr>
          <w:rStyle w:val="54"/>
          <w:color w:val="auto"/>
        </w:rPr>
        <w:t>9. 纪律和监督</w:t>
      </w:r>
      <w:r>
        <w:rPr>
          <w:color w:val="auto"/>
        </w:rPr>
        <w:tab/>
      </w:r>
      <w:r>
        <w:rPr>
          <w:color w:val="auto"/>
        </w:rPr>
        <w:fldChar w:fldCharType="begin"/>
      </w:r>
      <w:r>
        <w:rPr>
          <w:color w:val="auto"/>
        </w:rPr>
        <w:instrText xml:space="preserve"> PAGEREF _Toc124612956 \h </w:instrText>
      </w:r>
      <w:r>
        <w:rPr>
          <w:color w:val="auto"/>
        </w:rPr>
        <w:fldChar w:fldCharType="separate"/>
      </w:r>
      <w:r>
        <w:rPr>
          <w:color w:val="auto"/>
        </w:rPr>
        <w:t>36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"_Toc124612957" </w:instrText>
      </w:r>
      <w:r>
        <w:rPr>
          <w:color w:val="auto"/>
        </w:rPr>
        <w:fldChar w:fldCharType="separate"/>
      </w:r>
      <w:r>
        <w:rPr>
          <w:rStyle w:val="54"/>
          <w:color w:val="auto"/>
        </w:rPr>
        <w:t>9.1 对招标人的纪律要求</w:t>
      </w:r>
      <w:r>
        <w:rPr>
          <w:color w:val="auto"/>
        </w:rPr>
        <w:tab/>
      </w:r>
      <w:r>
        <w:rPr>
          <w:color w:val="auto"/>
        </w:rPr>
        <w:fldChar w:fldCharType="begin"/>
      </w:r>
      <w:r>
        <w:rPr>
          <w:color w:val="auto"/>
        </w:rPr>
        <w:instrText xml:space="preserve"> PAGEREF _Toc124612957 \h </w:instrText>
      </w:r>
      <w:r>
        <w:rPr>
          <w:color w:val="auto"/>
        </w:rPr>
        <w:fldChar w:fldCharType="separate"/>
      </w:r>
      <w:r>
        <w:rPr>
          <w:color w:val="auto"/>
        </w:rPr>
        <w:t>36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"_Toc124612958" </w:instrText>
      </w:r>
      <w:r>
        <w:rPr>
          <w:color w:val="auto"/>
        </w:rPr>
        <w:fldChar w:fldCharType="separate"/>
      </w:r>
      <w:r>
        <w:rPr>
          <w:rStyle w:val="54"/>
          <w:color w:val="auto"/>
        </w:rPr>
        <w:t>9.2 对投标人的纪律要求</w:t>
      </w:r>
      <w:r>
        <w:rPr>
          <w:color w:val="auto"/>
        </w:rPr>
        <w:tab/>
      </w:r>
      <w:r>
        <w:rPr>
          <w:color w:val="auto"/>
        </w:rPr>
        <w:fldChar w:fldCharType="begin"/>
      </w:r>
      <w:r>
        <w:rPr>
          <w:color w:val="auto"/>
        </w:rPr>
        <w:instrText xml:space="preserve"> PAGEREF _Toc124612958 \h </w:instrText>
      </w:r>
      <w:r>
        <w:rPr>
          <w:color w:val="auto"/>
        </w:rPr>
        <w:fldChar w:fldCharType="separate"/>
      </w:r>
      <w:r>
        <w:rPr>
          <w:color w:val="auto"/>
        </w:rPr>
        <w:t>36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"_Toc124612959" </w:instrText>
      </w:r>
      <w:r>
        <w:rPr>
          <w:color w:val="auto"/>
        </w:rPr>
        <w:fldChar w:fldCharType="separate"/>
      </w:r>
      <w:r>
        <w:rPr>
          <w:rStyle w:val="54"/>
          <w:color w:val="auto"/>
        </w:rPr>
        <w:t>9.3 对评标委员会成员的纪律要求</w:t>
      </w:r>
      <w:r>
        <w:rPr>
          <w:color w:val="auto"/>
        </w:rPr>
        <w:tab/>
      </w:r>
      <w:r>
        <w:rPr>
          <w:color w:val="auto"/>
        </w:rPr>
        <w:fldChar w:fldCharType="begin"/>
      </w:r>
      <w:r>
        <w:rPr>
          <w:color w:val="auto"/>
        </w:rPr>
        <w:instrText xml:space="preserve"> PAGEREF _Toc124612959 \h </w:instrText>
      </w:r>
      <w:r>
        <w:rPr>
          <w:color w:val="auto"/>
        </w:rPr>
        <w:fldChar w:fldCharType="separate"/>
      </w:r>
      <w:r>
        <w:rPr>
          <w:color w:val="auto"/>
        </w:rPr>
        <w:t>36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"_Toc124612960" </w:instrText>
      </w:r>
      <w:r>
        <w:rPr>
          <w:color w:val="auto"/>
        </w:rPr>
        <w:fldChar w:fldCharType="separate"/>
      </w:r>
      <w:r>
        <w:rPr>
          <w:rStyle w:val="54"/>
          <w:color w:val="auto"/>
        </w:rPr>
        <w:t>9.4 对与评标活动有关的工作人员的纪律要求</w:t>
      </w:r>
      <w:r>
        <w:rPr>
          <w:color w:val="auto"/>
        </w:rPr>
        <w:tab/>
      </w:r>
      <w:r>
        <w:rPr>
          <w:color w:val="auto"/>
        </w:rPr>
        <w:fldChar w:fldCharType="begin"/>
      </w:r>
      <w:r>
        <w:rPr>
          <w:color w:val="auto"/>
        </w:rPr>
        <w:instrText xml:space="preserve"> PAGEREF _Toc124612960 \h </w:instrText>
      </w:r>
      <w:r>
        <w:rPr>
          <w:color w:val="auto"/>
        </w:rPr>
        <w:fldChar w:fldCharType="separate"/>
      </w:r>
      <w:r>
        <w:rPr>
          <w:color w:val="auto"/>
        </w:rPr>
        <w:t>36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"_Toc124612961" </w:instrText>
      </w:r>
      <w:r>
        <w:rPr>
          <w:color w:val="auto"/>
        </w:rPr>
        <w:fldChar w:fldCharType="separate"/>
      </w:r>
      <w:r>
        <w:rPr>
          <w:rStyle w:val="54"/>
          <w:color w:val="auto"/>
        </w:rPr>
        <w:t>9.5 投诉</w:t>
      </w:r>
      <w:r>
        <w:rPr>
          <w:color w:val="auto"/>
        </w:rPr>
        <w:tab/>
      </w:r>
      <w:r>
        <w:rPr>
          <w:color w:val="auto"/>
        </w:rPr>
        <w:fldChar w:fldCharType="begin"/>
      </w:r>
      <w:r>
        <w:rPr>
          <w:color w:val="auto"/>
        </w:rPr>
        <w:instrText xml:space="preserve"> PAGEREF _Toc124612961 \h </w:instrText>
      </w:r>
      <w:r>
        <w:rPr>
          <w:color w:val="auto"/>
        </w:rPr>
        <w:fldChar w:fldCharType="separate"/>
      </w:r>
      <w:r>
        <w:rPr>
          <w:color w:val="auto"/>
        </w:rPr>
        <w:t>36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"_Toc124612962" </w:instrText>
      </w:r>
      <w:r>
        <w:rPr>
          <w:color w:val="auto"/>
        </w:rPr>
        <w:fldChar w:fldCharType="separate"/>
      </w:r>
      <w:r>
        <w:rPr>
          <w:rStyle w:val="54"/>
          <w:color w:val="auto"/>
        </w:rPr>
        <w:t>10. 电子招标投标</w:t>
      </w:r>
      <w:r>
        <w:rPr>
          <w:color w:val="auto"/>
        </w:rPr>
        <w:tab/>
      </w:r>
      <w:r>
        <w:rPr>
          <w:color w:val="auto"/>
        </w:rPr>
        <w:fldChar w:fldCharType="begin"/>
      </w:r>
      <w:r>
        <w:rPr>
          <w:color w:val="auto"/>
        </w:rPr>
        <w:instrText xml:space="preserve"> PAGEREF _Toc124612962 \h </w:instrText>
      </w:r>
      <w:r>
        <w:rPr>
          <w:color w:val="auto"/>
        </w:rPr>
        <w:fldChar w:fldCharType="separate"/>
      </w:r>
      <w:r>
        <w:rPr>
          <w:color w:val="auto"/>
        </w:rPr>
        <w:t>37</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"_Toc124612963" </w:instrText>
      </w:r>
      <w:r>
        <w:rPr>
          <w:color w:val="auto"/>
        </w:rPr>
        <w:fldChar w:fldCharType="separate"/>
      </w:r>
      <w:r>
        <w:rPr>
          <w:rStyle w:val="54"/>
          <w:color w:val="auto"/>
        </w:rPr>
        <w:t>11．需要补充的其他内容</w:t>
      </w:r>
      <w:r>
        <w:rPr>
          <w:color w:val="auto"/>
        </w:rPr>
        <w:tab/>
      </w:r>
      <w:r>
        <w:rPr>
          <w:color w:val="auto"/>
        </w:rPr>
        <w:fldChar w:fldCharType="begin"/>
      </w:r>
      <w:r>
        <w:rPr>
          <w:color w:val="auto"/>
        </w:rPr>
        <w:instrText xml:space="preserve"> PAGEREF _Toc124612963 \h </w:instrText>
      </w:r>
      <w:r>
        <w:rPr>
          <w:color w:val="auto"/>
        </w:rPr>
        <w:fldChar w:fldCharType="separate"/>
      </w:r>
      <w:r>
        <w:rPr>
          <w:color w:val="auto"/>
        </w:rPr>
        <w:t>37</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"_Toc124612964" </w:instrText>
      </w:r>
      <w:r>
        <w:rPr>
          <w:color w:val="auto"/>
        </w:rPr>
        <w:fldChar w:fldCharType="separate"/>
      </w:r>
      <w:r>
        <w:rPr>
          <w:rStyle w:val="54"/>
          <w:color w:val="auto"/>
        </w:rPr>
        <w:t>第三章 评标办法（定性评审）</w:t>
      </w:r>
      <w:r>
        <w:rPr>
          <w:color w:val="auto"/>
        </w:rPr>
        <w:tab/>
      </w:r>
      <w:r>
        <w:rPr>
          <w:color w:val="auto"/>
        </w:rPr>
        <w:fldChar w:fldCharType="begin"/>
      </w:r>
      <w:r>
        <w:rPr>
          <w:color w:val="auto"/>
        </w:rPr>
        <w:instrText xml:space="preserve"> PAGEREF _Toc124612964 \h </w:instrText>
      </w:r>
      <w:r>
        <w:rPr>
          <w:color w:val="auto"/>
        </w:rPr>
        <w:fldChar w:fldCharType="separate"/>
      </w:r>
      <w:r>
        <w:rPr>
          <w:color w:val="auto"/>
        </w:rPr>
        <w:t>38</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"_Toc124612965" </w:instrText>
      </w:r>
      <w:r>
        <w:rPr>
          <w:color w:val="auto"/>
        </w:rPr>
        <w:fldChar w:fldCharType="separate"/>
      </w:r>
      <w:r>
        <w:rPr>
          <w:rStyle w:val="54"/>
          <w:color w:val="auto"/>
        </w:rPr>
        <w:t>评标办法前附表</w:t>
      </w:r>
      <w:r>
        <w:rPr>
          <w:color w:val="auto"/>
        </w:rPr>
        <w:tab/>
      </w:r>
      <w:r>
        <w:rPr>
          <w:color w:val="auto"/>
        </w:rPr>
        <w:fldChar w:fldCharType="begin"/>
      </w:r>
      <w:r>
        <w:rPr>
          <w:color w:val="auto"/>
        </w:rPr>
        <w:instrText xml:space="preserve"> PAGEREF _Toc124612965 \h </w:instrText>
      </w:r>
      <w:r>
        <w:rPr>
          <w:color w:val="auto"/>
        </w:rPr>
        <w:fldChar w:fldCharType="separate"/>
      </w:r>
      <w:r>
        <w:rPr>
          <w:color w:val="auto"/>
        </w:rPr>
        <w:t>38</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"_Toc124612966" </w:instrText>
      </w:r>
      <w:r>
        <w:rPr>
          <w:color w:val="auto"/>
        </w:rPr>
        <w:fldChar w:fldCharType="separate"/>
      </w:r>
      <w:r>
        <w:rPr>
          <w:rStyle w:val="54"/>
          <w:color w:val="auto"/>
        </w:rPr>
        <w:t>1. 评标方法</w:t>
      </w:r>
      <w:r>
        <w:rPr>
          <w:color w:val="auto"/>
        </w:rPr>
        <w:tab/>
      </w:r>
      <w:r>
        <w:rPr>
          <w:color w:val="auto"/>
        </w:rPr>
        <w:fldChar w:fldCharType="begin"/>
      </w:r>
      <w:r>
        <w:rPr>
          <w:color w:val="auto"/>
        </w:rPr>
        <w:instrText xml:space="preserve"> PAGEREF _Toc124612966 \h </w:instrText>
      </w:r>
      <w:r>
        <w:rPr>
          <w:color w:val="auto"/>
        </w:rPr>
        <w:fldChar w:fldCharType="separate"/>
      </w:r>
      <w:r>
        <w:rPr>
          <w:color w:val="auto"/>
        </w:rPr>
        <w:t>39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"_Toc124612967" </w:instrText>
      </w:r>
      <w:r>
        <w:rPr>
          <w:color w:val="auto"/>
        </w:rPr>
        <w:fldChar w:fldCharType="separate"/>
      </w:r>
      <w:r>
        <w:rPr>
          <w:rStyle w:val="54"/>
          <w:color w:val="auto"/>
        </w:rPr>
        <w:t>2. 评审标准</w:t>
      </w:r>
      <w:r>
        <w:rPr>
          <w:color w:val="auto"/>
        </w:rPr>
        <w:tab/>
      </w:r>
      <w:r>
        <w:rPr>
          <w:color w:val="auto"/>
        </w:rPr>
        <w:fldChar w:fldCharType="begin"/>
      </w:r>
      <w:r>
        <w:rPr>
          <w:color w:val="auto"/>
        </w:rPr>
        <w:instrText xml:space="preserve"> PAGEREF _Toc124612967 \h </w:instrText>
      </w:r>
      <w:r>
        <w:rPr>
          <w:color w:val="auto"/>
        </w:rPr>
        <w:fldChar w:fldCharType="separate"/>
      </w:r>
      <w:r>
        <w:rPr>
          <w:color w:val="auto"/>
        </w:rPr>
        <w:t>39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"_Toc124612968" </w:instrText>
      </w:r>
      <w:r>
        <w:rPr>
          <w:color w:val="auto"/>
        </w:rPr>
        <w:fldChar w:fldCharType="separate"/>
      </w:r>
      <w:r>
        <w:rPr>
          <w:rStyle w:val="54"/>
          <w:color w:val="auto"/>
        </w:rPr>
        <w:t>2.1 初步评审标准</w:t>
      </w:r>
      <w:r>
        <w:rPr>
          <w:color w:val="auto"/>
        </w:rPr>
        <w:tab/>
      </w:r>
      <w:r>
        <w:rPr>
          <w:color w:val="auto"/>
        </w:rPr>
        <w:fldChar w:fldCharType="begin"/>
      </w:r>
      <w:r>
        <w:rPr>
          <w:color w:val="auto"/>
        </w:rPr>
        <w:instrText xml:space="preserve"> PAGEREF _Toc124612968 \h </w:instrText>
      </w:r>
      <w:r>
        <w:rPr>
          <w:color w:val="auto"/>
        </w:rPr>
        <w:fldChar w:fldCharType="separate"/>
      </w:r>
      <w:r>
        <w:rPr>
          <w:color w:val="auto"/>
        </w:rPr>
        <w:t>39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"_Toc124612969" </w:instrText>
      </w:r>
      <w:r>
        <w:rPr>
          <w:color w:val="auto"/>
        </w:rPr>
        <w:fldChar w:fldCharType="separate"/>
      </w:r>
      <w:r>
        <w:rPr>
          <w:rStyle w:val="54"/>
          <w:color w:val="auto"/>
        </w:rPr>
        <w:t>3. 评标程序</w:t>
      </w:r>
      <w:r>
        <w:rPr>
          <w:color w:val="auto"/>
        </w:rPr>
        <w:tab/>
      </w:r>
      <w:r>
        <w:rPr>
          <w:color w:val="auto"/>
        </w:rPr>
        <w:fldChar w:fldCharType="begin"/>
      </w:r>
      <w:r>
        <w:rPr>
          <w:color w:val="auto"/>
        </w:rPr>
        <w:instrText xml:space="preserve"> PAGEREF _Toc124612969 \h </w:instrText>
      </w:r>
      <w:r>
        <w:rPr>
          <w:color w:val="auto"/>
        </w:rPr>
        <w:fldChar w:fldCharType="separate"/>
      </w:r>
      <w:r>
        <w:rPr>
          <w:color w:val="auto"/>
        </w:rPr>
        <w:t>39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"_Toc124612970" </w:instrText>
      </w:r>
      <w:r>
        <w:rPr>
          <w:color w:val="auto"/>
        </w:rPr>
        <w:fldChar w:fldCharType="separate"/>
      </w:r>
      <w:r>
        <w:rPr>
          <w:rStyle w:val="54"/>
          <w:color w:val="auto"/>
        </w:rPr>
        <w:t>3.1 初步评审</w:t>
      </w:r>
      <w:r>
        <w:rPr>
          <w:color w:val="auto"/>
        </w:rPr>
        <w:tab/>
      </w:r>
      <w:r>
        <w:rPr>
          <w:color w:val="auto"/>
        </w:rPr>
        <w:fldChar w:fldCharType="begin"/>
      </w:r>
      <w:r>
        <w:rPr>
          <w:color w:val="auto"/>
        </w:rPr>
        <w:instrText xml:space="preserve"> PAGEREF _Toc124612970 \h </w:instrText>
      </w:r>
      <w:r>
        <w:rPr>
          <w:color w:val="auto"/>
        </w:rPr>
        <w:fldChar w:fldCharType="separate"/>
      </w:r>
      <w:r>
        <w:rPr>
          <w:color w:val="auto"/>
        </w:rPr>
        <w:t>39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"_Toc124612971" </w:instrText>
      </w:r>
      <w:r>
        <w:rPr>
          <w:color w:val="auto"/>
        </w:rPr>
        <w:fldChar w:fldCharType="separate"/>
      </w:r>
      <w:r>
        <w:rPr>
          <w:rStyle w:val="54"/>
          <w:color w:val="auto"/>
        </w:rPr>
        <w:t>3.2 投标文件的澄清和补正</w:t>
      </w:r>
      <w:r>
        <w:rPr>
          <w:color w:val="auto"/>
        </w:rPr>
        <w:tab/>
      </w:r>
      <w:r>
        <w:rPr>
          <w:color w:val="auto"/>
        </w:rPr>
        <w:fldChar w:fldCharType="begin"/>
      </w:r>
      <w:r>
        <w:rPr>
          <w:color w:val="auto"/>
        </w:rPr>
        <w:instrText xml:space="preserve"> PAGEREF _Toc124612971 \h </w:instrText>
      </w:r>
      <w:r>
        <w:rPr>
          <w:color w:val="auto"/>
        </w:rPr>
        <w:fldChar w:fldCharType="separate"/>
      </w:r>
      <w:r>
        <w:rPr>
          <w:color w:val="auto"/>
        </w:rPr>
        <w:t>41</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"_Toc124612972" </w:instrText>
      </w:r>
      <w:r>
        <w:rPr>
          <w:color w:val="auto"/>
        </w:rPr>
        <w:fldChar w:fldCharType="separate"/>
      </w:r>
      <w:r>
        <w:rPr>
          <w:rStyle w:val="54"/>
          <w:color w:val="auto"/>
        </w:rPr>
        <w:t>3.3 评标结果</w:t>
      </w:r>
      <w:r>
        <w:rPr>
          <w:color w:val="auto"/>
        </w:rPr>
        <w:tab/>
      </w:r>
      <w:r>
        <w:rPr>
          <w:color w:val="auto"/>
        </w:rPr>
        <w:fldChar w:fldCharType="begin"/>
      </w:r>
      <w:r>
        <w:rPr>
          <w:color w:val="auto"/>
        </w:rPr>
        <w:instrText xml:space="preserve"> PAGEREF _Toc124612972 \h </w:instrText>
      </w:r>
      <w:r>
        <w:rPr>
          <w:color w:val="auto"/>
        </w:rPr>
        <w:fldChar w:fldCharType="separate"/>
      </w:r>
      <w:r>
        <w:rPr>
          <w:color w:val="auto"/>
        </w:rPr>
        <w:t>41</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"_Toc124612973" </w:instrText>
      </w:r>
      <w:r>
        <w:rPr>
          <w:color w:val="auto"/>
        </w:rPr>
        <w:fldChar w:fldCharType="separate"/>
      </w:r>
      <w:r>
        <w:rPr>
          <w:rStyle w:val="54"/>
          <w:color w:val="auto"/>
        </w:rPr>
        <w:t>第三章 评标办法（定量评审）</w:t>
      </w:r>
      <w:r>
        <w:rPr>
          <w:color w:val="auto"/>
        </w:rPr>
        <w:tab/>
      </w:r>
      <w:r>
        <w:rPr>
          <w:color w:val="auto"/>
        </w:rPr>
        <w:fldChar w:fldCharType="begin"/>
      </w:r>
      <w:r>
        <w:rPr>
          <w:color w:val="auto"/>
        </w:rPr>
        <w:instrText xml:space="preserve"> PAGEREF _Toc124612973 \h </w:instrText>
      </w:r>
      <w:r>
        <w:rPr>
          <w:color w:val="auto"/>
        </w:rPr>
        <w:fldChar w:fldCharType="separate"/>
      </w:r>
      <w:r>
        <w:rPr>
          <w:color w:val="auto"/>
        </w:rPr>
        <w:t>42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"_Toc124612974" </w:instrText>
      </w:r>
      <w:r>
        <w:rPr>
          <w:color w:val="auto"/>
        </w:rPr>
        <w:fldChar w:fldCharType="separate"/>
      </w:r>
      <w:r>
        <w:rPr>
          <w:rStyle w:val="54"/>
          <w:color w:val="auto"/>
        </w:rPr>
        <w:t>评标办法前附表</w:t>
      </w:r>
      <w:r>
        <w:rPr>
          <w:color w:val="auto"/>
        </w:rPr>
        <w:tab/>
      </w:r>
      <w:r>
        <w:rPr>
          <w:color w:val="auto"/>
        </w:rPr>
        <w:fldChar w:fldCharType="begin"/>
      </w:r>
      <w:r>
        <w:rPr>
          <w:color w:val="auto"/>
        </w:rPr>
        <w:instrText xml:space="preserve"> PAGEREF _Toc124612974 \h </w:instrText>
      </w:r>
      <w:r>
        <w:rPr>
          <w:color w:val="auto"/>
        </w:rPr>
        <w:fldChar w:fldCharType="separate"/>
      </w:r>
      <w:r>
        <w:rPr>
          <w:color w:val="auto"/>
        </w:rPr>
        <w:t>42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"_Toc124612975" </w:instrText>
      </w:r>
      <w:r>
        <w:rPr>
          <w:color w:val="auto"/>
        </w:rPr>
        <w:fldChar w:fldCharType="separate"/>
      </w:r>
      <w:r>
        <w:rPr>
          <w:rStyle w:val="54"/>
          <w:color w:val="auto"/>
        </w:rPr>
        <w:t>1. 评标方法</w:t>
      </w:r>
      <w:r>
        <w:rPr>
          <w:color w:val="auto"/>
        </w:rPr>
        <w:tab/>
      </w:r>
      <w:r>
        <w:rPr>
          <w:color w:val="auto"/>
        </w:rPr>
        <w:fldChar w:fldCharType="begin"/>
      </w:r>
      <w:r>
        <w:rPr>
          <w:color w:val="auto"/>
        </w:rPr>
        <w:instrText xml:space="preserve"> PAGEREF _Toc124612975 \h </w:instrText>
      </w:r>
      <w:r>
        <w:rPr>
          <w:color w:val="auto"/>
        </w:rPr>
        <w:fldChar w:fldCharType="separate"/>
      </w:r>
      <w:r>
        <w:rPr>
          <w:color w:val="auto"/>
        </w:rPr>
        <w:t>46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"_Toc124612976" </w:instrText>
      </w:r>
      <w:r>
        <w:rPr>
          <w:color w:val="auto"/>
        </w:rPr>
        <w:fldChar w:fldCharType="separate"/>
      </w:r>
      <w:r>
        <w:rPr>
          <w:rStyle w:val="54"/>
          <w:color w:val="auto"/>
        </w:rPr>
        <w:t>2. 评审标准</w:t>
      </w:r>
      <w:r>
        <w:rPr>
          <w:color w:val="auto"/>
        </w:rPr>
        <w:tab/>
      </w:r>
      <w:r>
        <w:rPr>
          <w:color w:val="auto"/>
        </w:rPr>
        <w:fldChar w:fldCharType="begin"/>
      </w:r>
      <w:r>
        <w:rPr>
          <w:color w:val="auto"/>
        </w:rPr>
        <w:instrText xml:space="preserve"> PAGEREF _Toc124612976 \h </w:instrText>
      </w:r>
      <w:r>
        <w:rPr>
          <w:color w:val="auto"/>
        </w:rPr>
        <w:fldChar w:fldCharType="separate"/>
      </w:r>
      <w:r>
        <w:rPr>
          <w:color w:val="auto"/>
        </w:rPr>
        <w:t>46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"_Toc124612977" </w:instrText>
      </w:r>
      <w:r>
        <w:rPr>
          <w:color w:val="auto"/>
        </w:rPr>
        <w:fldChar w:fldCharType="separate"/>
      </w:r>
      <w:r>
        <w:rPr>
          <w:rStyle w:val="54"/>
          <w:color w:val="auto"/>
        </w:rPr>
        <w:t>2.1 初步评审标准</w:t>
      </w:r>
      <w:r>
        <w:rPr>
          <w:color w:val="auto"/>
        </w:rPr>
        <w:tab/>
      </w:r>
      <w:r>
        <w:rPr>
          <w:color w:val="auto"/>
        </w:rPr>
        <w:fldChar w:fldCharType="begin"/>
      </w:r>
      <w:r>
        <w:rPr>
          <w:color w:val="auto"/>
        </w:rPr>
        <w:instrText xml:space="preserve"> PAGEREF _Toc124612977 \h </w:instrText>
      </w:r>
      <w:r>
        <w:rPr>
          <w:color w:val="auto"/>
        </w:rPr>
        <w:fldChar w:fldCharType="separate"/>
      </w:r>
      <w:r>
        <w:rPr>
          <w:color w:val="auto"/>
        </w:rPr>
        <w:t>46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"_Toc124612978" </w:instrText>
      </w:r>
      <w:r>
        <w:rPr>
          <w:color w:val="auto"/>
        </w:rPr>
        <w:fldChar w:fldCharType="separate"/>
      </w:r>
      <w:r>
        <w:rPr>
          <w:rStyle w:val="54"/>
          <w:color w:val="auto"/>
        </w:rPr>
        <w:t>2.2 分值构成与评分标准</w:t>
      </w:r>
      <w:r>
        <w:rPr>
          <w:color w:val="auto"/>
        </w:rPr>
        <w:tab/>
      </w:r>
      <w:r>
        <w:rPr>
          <w:color w:val="auto"/>
        </w:rPr>
        <w:fldChar w:fldCharType="begin"/>
      </w:r>
      <w:r>
        <w:rPr>
          <w:color w:val="auto"/>
        </w:rPr>
        <w:instrText xml:space="preserve"> PAGEREF _Toc124612978 \h </w:instrText>
      </w:r>
      <w:r>
        <w:rPr>
          <w:color w:val="auto"/>
        </w:rPr>
        <w:fldChar w:fldCharType="separate"/>
      </w:r>
      <w:r>
        <w:rPr>
          <w:color w:val="auto"/>
        </w:rPr>
        <w:t>46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"_Toc124612979" </w:instrText>
      </w:r>
      <w:r>
        <w:rPr>
          <w:color w:val="auto"/>
        </w:rPr>
        <w:fldChar w:fldCharType="separate"/>
      </w:r>
      <w:r>
        <w:rPr>
          <w:rStyle w:val="54"/>
          <w:color w:val="auto"/>
        </w:rPr>
        <w:t>3. 评标程序</w:t>
      </w:r>
      <w:r>
        <w:rPr>
          <w:color w:val="auto"/>
        </w:rPr>
        <w:tab/>
      </w:r>
      <w:r>
        <w:rPr>
          <w:color w:val="auto"/>
        </w:rPr>
        <w:fldChar w:fldCharType="begin"/>
      </w:r>
      <w:r>
        <w:rPr>
          <w:color w:val="auto"/>
        </w:rPr>
        <w:instrText xml:space="preserve"> PAGEREF _Toc124612979 \h </w:instrText>
      </w:r>
      <w:r>
        <w:rPr>
          <w:color w:val="auto"/>
        </w:rPr>
        <w:fldChar w:fldCharType="separate"/>
      </w:r>
      <w:r>
        <w:rPr>
          <w:color w:val="auto"/>
        </w:rPr>
        <w:t>46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"_Toc124612980" </w:instrText>
      </w:r>
      <w:r>
        <w:rPr>
          <w:color w:val="auto"/>
        </w:rPr>
        <w:fldChar w:fldCharType="separate"/>
      </w:r>
      <w:r>
        <w:rPr>
          <w:rStyle w:val="54"/>
          <w:color w:val="auto"/>
        </w:rPr>
        <w:t>3.1 初步评审</w:t>
      </w:r>
      <w:r>
        <w:rPr>
          <w:color w:val="auto"/>
        </w:rPr>
        <w:tab/>
      </w:r>
      <w:r>
        <w:rPr>
          <w:color w:val="auto"/>
        </w:rPr>
        <w:fldChar w:fldCharType="begin"/>
      </w:r>
      <w:r>
        <w:rPr>
          <w:color w:val="auto"/>
        </w:rPr>
        <w:instrText xml:space="preserve"> PAGEREF _Toc124612980 \h </w:instrText>
      </w:r>
      <w:r>
        <w:rPr>
          <w:color w:val="auto"/>
        </w:rPr>
        <w:fldChar w:fldCharType="separate"/>
      </w:r>
      <w:r>
        <w:rPr>
          <w:color w:val="auto"/>
        </w:rPr>
        <w:t>46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"_Toc124612981" </w:instrText>
      </w:r>
      <w:r>
        <w:rPr>
          <w:color w:val="auto"/>
        </w:rPr>
        <w:fldChar w:fldCharType="separate"/>
      </w:r>
      <w:r>
        <w:rPr>
          <w:rStyle w:val="54"/>
          <w:color w:val="auto"/>
        </w:rPr>
        <w:t>3.2 详细评审</w:t>
      </w:r>
      <w:r>
        <w:rPr>
          <w:color w:val="auto"/>
        </w:rPr>
        <w:tab/>
      </w:r>
      <w:r>
        <w:rPr>
          <w:color w:val="auto"/>
        </w:rPr>
        <w:fldChar w:fldCharType="begin"/>
      </w:r>
      <w:r>
        <w:rPr>
          <w:color w:val="auto"/>
        </w:rPr>
        <w:instrText xml:space="preserve"> PAGEREF _Toc124612981 \h </w:instrText>
      </w:r>
      <w:r>
        <w:rPr>
          <w:color w:val="auto"/>
        </w:rPr>
        <w:fldChar w:fldCharType="separate"/>
      </w:r>
      <w:r>
        <w:rPr>
          <w:color w:val="auto"/>
        </w:rPr>
        <w:t>48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"_Toc124612982" </w:instrText>
      </w:r>
      <w:r>
        <w:rPr>
          <w:color w:val="auto"/>
        </w:rPr>
        <w:fldChar w:fldCharType="separate"/>
      </w:r>
      <w:r>
        <w:rPr>
          <w:rStyle w:val="54"/>
          <w:color w:val="auto"/>
        </w:rPr>
        <w:t>3.3 投标文件的澄清和补正</w:t>
      </w:r>
      <w:r>
        <w:rPr>
          <w:color w:val="auto"/>
        </w:rPr>
        <w:tab/>
      </w:r>
      <w:r>
        <w:rPr>
          <w:color w:val="auto"/>
        </w:rPr>
        <w:fldChar w:fldCharType="begin"/>
      </w:r>
      <w:r>
        <w:rPr>
          <w:color w:val="auto"/>
        </w:rPr>
        <w:instrText xml:space="preserve"> PAGEREF _Toc124612982 \h </w:instrText>
      </w:r>
      <w:r>
        <w:rPr>
          <w:color w:val="auto"/>
        </w:rPr>
        <w:fldChar w:fldCharType="separate"/>
      </w:r>
      <w:r>
        <w:rPr>
          <w:color w:val="auto"/>
        </w:rPr>
        <w:t>49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"_Toc124612983" </w:instrText>
      </w:r>
      <w:r>
        <w:rPr>
          <w:color w:val="auto"/>
        </w:rPr>
        <w:fldChar w:fldCharType="separate"/>
      </w:r>
      <w:r>
        <w:rPr>
          <w:rStyle w:val="54"/>
          <w:color w:val="auto"/>
        </w:rPr>
        <w:t>3.4 评标结果</w:t>
      </w:r>
      <w:r>
        <w:rPr>
          <w:color w:val="auto"/>
        </w:rPr>
        <w:tab/>
      </w:r>
      <w:r>
        <w:rPr>
          <w:color w:val="auto"/>
        </w:rPr>
        <w:fldChar w:fldCharType="begin"/>
      </w:r>
      <w:r>
        <w:rPr>
          <w:color w:val="auto"/>
        </w:rPr>
        <w:instrText xml:space="preserve"> PAGEREF _Toc124612983 \h </w:instrText>
      </w:r>
      <w:r>
        <w:rPr>
          <w:color w:val="auto"/>
        </w:rPr>
        <w:fldChar w:fldCharType="separate"/>
      </w:r>
      <w:r>
        <w:rPr>
          <w:color w:val="auto"/>
        </w:rPr>
        <w:t>49</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"_Toc124612984" </w:instrText>
      </w:r>
      <w:r>
        <w:rPr>
          <w:color w:val="auto"/>
        </w:rPr>
        <w:fldChar w:fldCharType="separate"/>
      </w:r>
      <w:r>
        <w:rPr>
          <w:rStyle w:val="54"/>
          <w:color w:val="auto"/>
        </w:rPr>
        <w:t>第四章 定标办法</w:t>
      </w:r>
      <w:r>
        <w:rPr>
          <w:color w:val="auto"/>
        </w:rPr>
        <w:tab/>
      </w:r>
      <w:r>
        <w:rPr>
          <w:color w:val="auto"/>
        </w:rPr>
        <w:fldChar w:fldCharType="begin"/>
      </w:r>
      <w:r>
        <w:rPr>
          <w:color w:val="auto"/>
        </w:rPr>
        <w:instrText xml:space="preserve"> PAGEREF _Toc124612984 \h </w:instrText>
      </w:r>
      <w:r>
        <w:rPr>
          <w:color w:val="auto"/>
        </w:rPr>
        <w:fldChar w:fldCharType="separate"/>
      </w:r>
      <w:r>
        <w:rPr>
          <w:color w:val="auto"/>
        </w:rPr>
        <w:t>50</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"_Toc124612985" </w:instrText>
      </w:r>
      <w:r>
        <w:rPr>
          <w:color w:val="auto"/>
        </w:rPr>
        <w:fldChar w:fldCharType="separate"/>
      </w:r>
      <w:r>
        <w:rPr>
          <w:rStyle w:val="54"/>
          <w:color w:val="auto"/>
        </w:rPr>
        <w:t>1.定标方法</w:t>
      </w:r>
      <w:r>
        <w:rPr>
          <w:color w:val="auto"/>
        </w:rPr>
        <w:tab/>
      </w:r>
      <w:r>
        <w:rPr>
          <w:color w:val="auto"/>
        </w:rPr>
        <w:fldChar w:fldCharType="begin"/>
      </w:r>
      <w:r>
        <w:rPr>
          <w:color w:val="auto"/>
        </w:rPr>
        <w:instrText xml:space="preserve"> PAGEREF _Toc124612985 \h </w:instrText>
      </w:r>
      <w:r>
        <w:rPr>
          <w:color w:val="auto"/>
        </w:rPr>
        <w:fldChar w:fldCharType="separate"/>
      </w:r>
      <w:r>
        <w:rPr>
          <w:color w:val="auto"/>
        </w:rPr>
        <w:t>50</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"_Toc124612986" </w:instrText>
      </w:r>
      <w:r>
        <w:rPr>
          <w:color w:val="auto"/>
        </w:rPr>
        <w:fldChar w:fldCharType="separate"/>
      </w:r>
      <w:r>
        <w:rPr>
          <w:rStyle w:val="54"/>
          <w:color w:val="auto"/>
        </w:rPr>
        <w:t>2.定标因素</w:t>
      </w:r>
      <w:r>
        <w:rPr>
          <w:color w:val="auto"/>
        </w:rPr>
        <w:tab/>
      </w:r>
      <w:r>
        <w:rPr>
          <w:color w:val="auto"/>
        </w:rPr>
        <w:fldChar w:fldCharType="begin"/>
      </w:r>
      <w:r>
        <w:rPr>
          <w:color w:val="auto"/>
        </w:rPr>
        <w:instrText xml:space="preserve"> PAGEREF _Toc124612986 \h </w:instrText>
      </w:r>
      <w:r>
        <w:rPr>
          <w:color w:val="auto"/>
        </w:rPr>
        <w:fldChar w:fldCharType="separate"/>
      </w:r>
      <w:r>
        <w:rPr>
          <w:color w:val="auto"/>
        </w:rPr>
        <w:t>50</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"_Toc124612987" </w:instrText>
      </w:r>
      <w:r>
        <w:rPr>
          <w:color w:val="auto"/>
        </w:rPr>
        <w:fldChar w:fldCharType="separate"/>
      </w:r>
      <w:r>
        <w:rPr>
          <w:rStyle w:val="54"/>
          <w:color w:val="auto"/>
        </w:rPr>
        <w:t>3.定标程序</w:t>
      </w:r>
      <w:r>
        <w:rPr>
          <w:color w:val="auto"/>
        </w:rPr>
        <w:tab/>
      </w:r>
      <w:r>
        <w:rPr>
          <w:color w:val="auto"/>
        </w:rPr>
        <w:fldChar w:fldCharType="begin"/>
      </w:r>
      <w:r>
        <w:rPr>
          <w:color w:val="auto"/>
        </w:rPr>
        <w:instrText xml:space="preserve"> PAGEREF _Toc124612987 \h </w:instrText>
      </w:r>
      <w:r>
        <w:rPr>
          <w:color w:val="auto"/>
        </w:rPr>
        <w:fldChar w:fldCharType="separate"/>
      </w:r>
      <w:r>
        <w:rPr>
          <w:color w:val="auto"/>
        </w:rPr>
        <w:t>50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"_Toc124612988" </w:instrText>
      </w:r>
      <w:r>
        <w:rPr>
          <w:color w:val="auto"/>
        </w:rPr>
        <w:fldChar w:fldCharType="separate"/>
      </w:r>
      <w:r>
        <w:rPr>
          <w:rStyle w:val="54"/>
          <w:color w:val="auto"/>
        </w:rPr>
        <w:t>3.1票决法</w:t>
      </w:r>
      <w:r>
        <w:rPr>
          <w:color w:val="auto"/>
        </w:rPr>
        <w:tab/>
      </w:r>
      <w:r>
        <w:rPr>
          <w:color w:val="auto"/>
        </w:rPr>
        <w:fldChar w:fldCharType="begin"/>
      </w:r>
      <w:r>
        <w:rPr>
          <w:color w:val="auto"/>
        </w:rPr>
        <w:instrText xml:space="preserve"> PAGEREF _Toc124612988 \h </w:instrText>
      </w:r>
      <w:r>
        <w:rPr>
          <w:color w:val="auto"/>
        </w:rPr>
        <w:fldChar w:fldCharType="separate"/>
      </w:r>
      <w:r>
        <w:rPr>
          <w:color w:val="auto"/>
        </w:rPr>
        <w:t>50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"_Toc124612989" </w:instrText>
      </w:r>
      <w:r>
        <w:rPr>
          <w:color w:val="auto"/>
        </w:rPr>
        <w:fldChar w:fldCharType="separate"/>
      </w:r>
      <w:r>
        <w:rPr>
          <w:rStyle w:val="54"/>
          <w:color w:val="auto"/>
        </w:rPr>
        <w:t>3.2集体议事法</w:t>
      </w:r>
      <w:r>
        <w:rPr>
          <w:color w:val="auto"/>
        </w:rPr>
        <w:tab/>
      </w:r>
      <w:r>
        <w:rPr>
          <w:color w:val="auto"/>
        </w:rPr>
        <w:fldChar w:fldCharType="begin"/>
      </w:r>
      <w:r>
        <w:rPr>
          <w:color w:val="auto"/>
        </w:rPr>
        <w:instrText xml:space="preserve"> PAGEREF _Toc124612989 \h </w:instrText>
      </w:r>
      <w:r>
        <w:rPr>
          <w:color w:val="auto"/>
        </w:rPr>
        <w:fldChar w:fldCharType="separate"/>
      </w:r>
      <w:r>
        <w:rPr>
          <w:color w:val="auto"/>
        </w:rPr>
        <w:t>50</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"_Toc124612990" </w:instrText>
      </w:r>
      <w:r>
        <w:rPr>
          <w:color w:val="auto"/>
        </w:rPr>
        <w:fldChar w:fldCharType="separate"/>
      </w:r>
      <w:r>
        <w:rPr>
          <w:rStyle w:val="54"/>
          <w:color w:val="auto"/>
        </w:rPr>
        <w:t>4.中标人须知</w:t>
      </w:r>
      <w:r>
        <w:rPr>
          <w:color w:val="auto"/>
        </w:rPr>
        <w:tab/>
      </w:r>
      <w:r>
        <w:rPr>
          <w:color w:val="auto"/>
        </w:rPr>
        <w:fldChar w:fldCharType="begin"/>
      </w:r>
      <w:r>
        <w:rPr>
          <w:color w:val="auto"/>
        </w:rPr>
        <w:instrText xml:space="preserve"> PAGEREF _Toc124612990 \h </w:instrText>
      </w:r>
      <w:r>
        <w:rPr>
          <w:color w:val="auto"/>
        </w:rPr>
        <w:fldChar w:fldCharType="separate"/>
      </w:r>
      <w:r>
        <w:rPr>
          <w:color w:val="auto"/>
        </w:rPr>
        <w:t>51</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"_Toc124612991" </w:instrText>
      </w:r>
      <w:r>
        <w:rPr>
          <w:color w:val="auto"/>
        </w:rPr>
        <w:fldChar w:fldCharType="separate"/>
      </w:r>
      <w:r>
        <w:rPr>
          <w:rStyle w:val="54"/>
          <w:color w:val="auto"/>
        </w:rPr>
        <w:t>第五章 合同格式及主要条款</w:t>
      </w:r>
      <w:r>
        <w:rPr>
          <w:color w:val="auto"/>
        </w:rPr>
        <w:tab/>
      </w:r>
      <w:r>
        <w:rPr>
          <w:color w:val="auto"/>
        </w:rPr>
        <w:fldChar w:fldCharType="begin"/>
      </w:r>
      <w:r>
        <w:rPr>
          <w:color w:val="auto"/>
        </w:rPr>
        <w:instrText xml:space="preserve"> PAGEREF _Toc124612991 \h </w:instrText>
      </w:r>
      <w:r>
        <w:rPr>
          <w:color w:val="auto"/>
        </w:rPr>
        <w:fldChar w:fldCharType="separate"/>
      </w:r>
      <w:r>
        <w:rPr>
          <w:color w:val="auto"/>
        </w:rPr>
        <w:t>52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"_Toc124612992" </w:instrText>
      </w:r>
      <w:r>
        <w:rPr>
          <w:color w:val="auto"/>
        </w:rPr>
        <w:fldChar w:fldCharType="separate"/>
      </w:r>
      <w:r>
        <w:rPr>
          <w:rStyle w:val="54"/>
          <w:color w:val="auto"/>
        </w:rPr>
        <w:t>第一部分 合同协议书</w:t>
      </w:r>
      <w:r>
        <w:rPr>
          <w:color w:val="auto"/>
        </w:rPr>
        <w:tab/>
      </w:r>
      <w:r>
        <w:rPr>
          <w:color w:val="auto"/>
        </w:rPr>
        <w:fldChar w:fldCharType="begin"/>
      </w:r>
      <w:r>
        <w:rPr>
          <w:color w:val="auto"/>
        </w:rPr>
        <w:instrText xml:space="preserve"> PAGEREF _Toc124612992 \h </w:instrText>
      </w:r>
      <w:r>
        <w:rPr>
          <w:color w:val="auto"/>
        </w:rPr>
        <w:fldChar w:fldCharType="separate"/>
      </w:r>
      <w:r>
        <w:rPr>
          <w:color w:val="auto"/>
        </w:rPr>
        <w:t>53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"_Toc124613006" </w:instrText>
      </w:r>
      <w:r>
        <w:rPr>
          <w:color w:val="auto"/>
        </w:rPr>
        <w:fldChar w:fldCharType="separate"/>
      </w:r>
      <w:r>
        <w:rPr>
          <w:rStyle w:val="54"/>
          <w:color w:val="auto"/>
        </w:rPr>
        <w:t>第二部分 通用合同条款</w:t>
      </w:r>
      <w:r>
        <w:rPr>
          <w:color w:val="auto"/>
        </w:rPr>
        <w:tab/>
      </w:r>
      <w:r>
        <w:rPr>
          <w:color w:val="auto"/>
        </w:rPr>
        <w:fldChar w:fldCharType="begin"/>
      </w:r>
      <w:r>
        <w:rPr>
          <w:color w:val="auto"/>
        </w:rPr>
        <w:instrText xml:space="preserve"> PAGEREF _Toc124613006 \h </w:instrText>
      </w:r>
      <w:r>
        <w:rPr>
          <w:color w:val="auto"/>
        </w:rPr>
        <w:fldChar w:fldCharType="separate"/>
      </w:r>
      <w:r>
        <w:rPr>
          <w:color w:val="auto"/>
        </w:rPr>
        <w:t>57</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"_Toc124613007" </w:instrText>
      </w:r>
      <w:r>
        <w:rPr>
          <w:color w:val="auto"/>
        </w:rPr>
        <w:fldChar w:fldCharType="separate"/>
      </w:r>
      <w:r>
        <w:rPr>
          <w:rStyle w:val="54"/>
          <w:color w:val="auto"/>
        </w:rPr>
        <w:t>第三部分 专用合同条款</w:t>
      </w:r>
      <w:r>
        <w:rPr>
          <w:color w:val="auto"/>
        </w:rPr>
        <w:tab/>
      </w:r>
      <w:r>
        <w:rPr>
          <w:color w:val="auto"/>
        </w:rPr>
        <w:fldChar w:fldCharType="begin"/>
      </w:r>
      <w:r>
        <w:rPr>
          <w:color w:val="auto"/>
        </w:rPr>
        <w:instrText xml:space="preserve"> PAGEREF _Toc124613007 \h </w:instrText>
      </w:r>
      <w:r>
        <w:rPr>
          <w:color w:val="auto"/>
        </w:rPr>
        <w:fldChar w:fldCharType="separate"/>
      </w:r>
      <w:r>
        <w:rPr>
          <w:color w:val="auto"/>
        </w:rPr>
        <w:t>58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"_Toc124613008" </w:instrText>
      </w:r>
      <w:r>
        <w:rPr>
          <w:color w:val="auto"/>
        </w:rPr>
        <w:fldChar w:fldCharType="separate"/>
      </w:r>
      <w:r>
        <w:rPr>
          <w:rStyle w:val="54"/>
          <w:color w:val="auto"/>
        </w:rPr>
        <w:t>1. 一般约定</w:t>
      </w:r>
      <w:r>
        <w:rPr>
          <w:color w:val="auto"/>
        </w:rPr>
        <w:tab/>
      </w:r>
      <w:r>
        <w:rPr>
          <w:color w:val="auto"/>
        </w:rPr>
        <w:fldChar w:fldCharType="begin"/>
      </w:r>
      <w:r>
        <w:rPr>
          <w:color w:val="auto"/>
        </w:rPr>
        <w:instrText xml:space="preserve"> PAGEREF _Toc124613008 \h </w:instrText>
      </w:r>
      <w:r>
        <w:rPr>
          <w:color w:val="auto"/>
        </w:rPr>
        <w:fldChar w:fldCharType="separate"/>
      </w:r>
      <w:r>
        <w:rPr>
          <w:color w:val="auto"/>
        </w:rPr>
        <w:t>58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"_Toc124613009" </w:instrText>
      </w:r>
      <w:r>
        <w:rPr>
          <w:color w:val="auto"/>
        </w:rPr>
        <w:fldChar w:fldCharType="separate"/>
      </w:r>
      <w:r>
        <w:rPr>
          <w:rStyle w:val="54"/>
          <w:color w:val="auto"/>
        </w:rPr>
        <w:t>2. 发包人</w:t>
      </w:r>
      <w:r>
        <w:rPr>
          <w:color w:val="auto"/>
        </w:rPr>
        <w:tab/>
      </w:r>
      <w:r>
        <w:rPr>
          <w:color w:val="auto"/>
        </w:rPr>
        <w:fldChar w:fldCharType="begin"/>
      </w:r>
      <w:r>
        <w:rPr>
          <w:color w:val="auto"/>
        </w:rPr>
        <w:instrText xml:space="preserve"> PAGEREF _Toc124613009 \h </w:instrText>
      </w:r>
      <w:r>
        <w:rPr>
          <w:color w:val="auto"/>
        </w:rPr>
        <w:fldChar w:fldCharType="separate"/>
      </w:r>
      <w:r>
        <w:rPr>
          <w:color w:val="auto"/>
        </w:rPr>
        <w:t>60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"_Toc124613010" </w:instrText>
      </w:r>
      <w:r>
        <w:rPr>
          <w:color w:val="auto"/>
        </w:rPr>
        <w:fldChar w:fldCharType="separate"/>
      </w:r>
      <w:r>
        <w:rPr>
          <w:rStyle w:val="54"/>
          <w:color w:val="auto"/>
        </w:rPr>
        <w:t>3. 承包人</w:t>
      </w:r>
      <w:r>
        <w:rPr>
          <w:color w:val="auto"/>
        </w:rPr>
        <w:tab/>
      </w:r>
      <w:r>
        <w:rPr>
          <w:color w:val="auto"/>
        </w:rPr>
        <w:fldChar w:fldCharType="begin"/>
      </w:r>
      <w:r>
        <w:rPr>
          <w:color w:val="auto"/>
        </w:rPr>
        <w:instrText xml:space="preserve"> PAGEREF _Toc124613010 \h </w:instrText>
      </w:r>
      <w:r>
        <w:rPr>
          <w:color w:val="auto"/>
        </w:rPr>
        <w:fldChar w:fldCharType="separate"/>
      </w:r>
      <w:r>
        <w:rPr>
          <w:color w:val="auto"/>
        </w:rPr>
        <w:t>61</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"_Toc124613011" </w:instrText>
      </w:r>
      <w:r>
        <w:rPr>
          <w:color w:val="auto"/>
        </w:rPr>
        <w:fldChar w:fldCharType="separate"/>
      </w:r>
      <w:r>
        <w:rPr>
          <w:rStyle w:val="54"/>
          <w:color w:val="auto"/>
        </w:rPr>
        <w:t>4. 监理人</w:t>
      </w:r>
      <w:r>
        <w:rPr>
          <w:color w:val="auto"/>
        </w:rPr>
        <w:tab/>
      </w:r>
      <w:r>
        <w:rPr>
          <w:color w:val="auto"/>
        </w:rPr>
        <w:fldChar w:fldCharType="begin"/>
      </w:r>
      <w:r>
        <w:rPr>
          <w:color w:val="auto"/>
        </w:rPr>
        <w:instrText xml:space="preserve"> PAGEREF _Toc124613011 \h </w:instrText>
      </w:r>
      <w:r>
        <w:rPr>
          <w:color w:val="auto"/>
        </w:rPr>
        <w:fldChar w:fldCharType="separate"/>
      </w:r>
      <w:r>
        <w:rPr>
          <w:color w:val="auto"/>
        </w:rPr>
        <w:t>63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"_Toc124613012" </w:instrText>
      </w:r>
      <w:r>
        <w:rPr>
          <w:color w:val="auto"/>
        </w:rPr>
        <w:fldChar w:fldCharType="separate"/>
      </w:r>
      <w:r>
        <w:rPr>
          <w:rStyle w:val="54"/>
          <w:color w:val="auto"/>
        </w:rPr>
        <w:t>5. 工程质量</w:t>
      </w:r>
      <w:r>
        <w:rPr>
          <w:color w:val="auto"/>
        </w:rPr>
        <w:tab/>
      </w:r>
      <w:r>
        <w:rPr>
          <w:color w:val="auto"/>
        </w:rPr>
        <w:fldChar w:fldCharType="begin"/>
      </w:r>
      <w:r>
        <w:rPr>
          <w:color w:val="auto"/>
        </w:rPr>
        <w:instrText xml:space="preserve"> PAGEREF _Toc124613012 \h </w:instrText>
      </w:r>
      <w:r>
        <w:rPr>
          <w:color w:val="auto"/>
        </w:rPr>
        <w:fldChar w:fldCharType="separate"/>
      </w:r>
      <w:r>
        <w:rPr>
          <w:color w:val="auto"/>
        </w:rPr>
        <w:t>63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"_Toc124613013" </w:instrText>
      </w:r>
      <w:r>
        <w:rPr>
          <w:color w:val="auto"/>
        </w:rPr>
        <w:fldChar w:fldCharType="separate"/>
      </w:r>
      <w:r>
        <w:rPr>
          <w:rStyle w:val="54"/>
          <w:color w:val="auto"/>
        </w:rPr>
        <w:t>6. 安全文明施工与环境保护</w:t>
      </w:r>
      <w:r>
        <w:rPr>
          <w:color w:val="auto"/>
        </w:rPr>
        <w:tab/>
      </w:r>
      <w:r>
        <w:rPr>
          <w:color w:val="auto"/>
        </w:rPr>
        <w:fldChar w:fldCharType="begin"/>
      </w:r>
      <w:r>
        <w:rPr>
          <w:color w:val="auto"/>
        </w:rPr>
        <w:instrText xml:space="preserve"> PAGEREF _Toc124613013 \h </w:instrText>
      </w:r>
      <w:r>
        <w:rPr>
          <w:color w:val="auto"/>
        </w:rPr>
        <w:fldChar w:fldCharType="separate"/>
      </w:r>
      <w:r>
        <w:rPr>
          <w:color w:val="auto"/>
        </w:rPr>
        <w:t>64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"_Toc124613014" </w:instrText>
      </w:r>
      <w:r>
        <w:rPr>
          <w:color w:val="auto"/>
        </w:rPr>
        <w:fldChar w:fldCharType="separate"/>
      </w:r>
      <w:r>
        <w:rPr>
          <w:rStyle w:val="54"/>
          <w:color w:val="auto"/>
        </w:rPr>
        <w:t>7. 工期和进度</w:t>
      </w:r>
      <w:r>
        <w:rPr>
          <w:color w:val="auto"/>
        </w:rPr>
        <w:tab/>
      </w:r>
      <w:r>
        <w:rPr>
          <w:color w:val="auto"/>
        </w:rPr>
        <w:fldChar w:fldCharType="begin"/>
      </w:r>
      <w:r>
        <w:rPr>
          <w:color w:val="auto"/>
        </w:rPr>
        <w:instrText xml:space="preserve"> PAGEREF _Toc124613014 \h </w:instrText>
      </w:r>
      <w:r>
        <w:rPr>
          <w:color w:val="auto"/>
        </w:rPr>
        <w:fldChar w:fldCharType="separate"/>
      </w:r>
      <w:r>
        <w:rPr>
          <w:color w:val="auto"/>
        </w:rPr>
        <w:t>64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"_Toc124613015" </w:instrText>
      </w:r>
      <w:r>
        <w:rPr>
          <w:color w:val="auto"/>
        </w:rPr>
        <w:fldChar w:fldCharType="separate"/>
      </w:r>
      <w:r>
        <w:rPr>
          <w:rStyle w:val="54"/>
          <w:color w:val="auto"/>
        </w:rPr>
        <w:t>8. 材料与设备</w:t>
      </w:r>
      <w:r>
        <w:rPr>
          <w:color w:val="auto"/>
        </w:rPr>
        <w:tab/>
      </w:r>
      <w:r>
        <w:rPr>
          <w:color w:val="auto"/>
        </w:rPr>
        <w:fldChar w:fldCharType="begin"/>
      </w:r>
      <w:r>
        <w:rPr>
          <w:color w:val="auto"/>
        </w:rPr>
        <w:instrText xml:space="preserve"> PAGEREF _Toc124613015 \h </w:instrText>
      </w:r>
      <w:r>
        <w:rPr>
          <w:color w:val="auto"/>
        </w:rPr>
        <w:fldChar w:fldCharType="separate"/>
      </w:r>
      <w:r>
        <w:rPr>
          <w:color w:val="auto"/>
        </w:rPr>
        <w:t>65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"_Toc124613016" </w:instrText>
      </w:r>
      <w:r>
        <w:rPr>
          <w:color w:val="auto"/>
        </w:rPr>
        <w:fldChar w:fldCharType="separate"/>
      </w:r>
      <w:r>
        <w:rPr>
          <w:rStyle w:val="54"/>
          <w:color w:val="auto"/>
        </w:rPr>
        <w:t>9. 试验与检验</w:t>
      </w:r>
      <w:r>
        <w:rPr>
          <w:color w:val="auto"/>
        </w:rPr>
        <w:tab/>
      </w:r>
      <w:r>
        <w:rPr>
          <w:color w:val="auto"/>
        </w:rPr>
        <w:fldChar w:fldCharType="begin"/>
      </w:r>
      <w:r>
        <w:rPr>
          <w:color w:val="auto"/>
        </w:rPr>
        <w:instrText xml:space="preserve"> PAGEREF _Toc124613016 \h </w:instrText>
      </w:r>
      <w:r>
        <w:rPr>
          <w:color w:val="auto"/>
        </w:rPr>
        <w:fldChar w:fldCharType="separate"/>
      </w:r>
      <w:r>
        <w:rPr>
          <w:color w:val="auto"/>
        </w:rPr>
        <w:t>66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"_Toc124613017" </w:instrText>
      </w:r>
      <w:r>
        <w:rPr>
          <w:color w:val="auto"/>
        </w:rPr>
        <w:fldChar w:fldCharType="separate"/>
      </w:r>
      <w:r>
        <w:rPr>
          <w:rStyle w:val="54"/>
          <w:color w:val="auto"/>
        </w:rPr>
        <w:t>10. 变更</w:t>
      </w:r>
      <w:r>
        <w:rPr>
          <w:color w:val="auto"/>
        </w:rPr>
        <w:tab/>
      </w:r>
      <w:r>
        <w:rPr>
          <w:color w:val="auto"/>
        </w:rPr>
        <w:fldChar w:fldCharType="begin"/>
      </w:r>
      <w:r>
        <w:rPr>
          <w:color w:val="auto"/>
        </w:rPr>
        <w:instrText xml:space="preserve"> PAGEREF _Toc124613017 \h </w:instrText>
      </w:r>
      <w:r>
        <w:rPr>
          <w:color w:val="auto"/>
        </w:rPr>
        <w:fldChar w:fldCharType="separate"/>
      </w:r>
      <w:r>
        <w:rPr>
          <w:color w:val="auto"/>
        </w:rPr>
        <w:t>66</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"_Toc124613018" </w:instrText>
      </w:r>
      <w:r>
        <w:rPr>
          <w:color w:val="auto"/>
        </w:rPr>
        <w:fldChar w:fldCharType="separate"/>
      </w:r>
      <w:r>
        <w:rPr>
          <w:rStyle w:val="54"/>
          <w:color w:val="auto"/>
        </w:rPr>
        <w:t>11. 价格调整</w:t>
      </w:r>
      <w:r>
        <w:rPr>
          <w:color w:val="auto"/>
        </w:rPr>
        <w:tab/>
      </w:r>
      <w:r>
        <w:rPr>
          <w:color w:val="auto"/>
        </w:rPr>
        <w:fldChar w:fldCharType="begin"/>
      </w:r>
      <w:r>
        <w:rPr>
          <w:color w:val="auto"/>
        </w:rPr>
        <w:instrText xml:space="preserve"> PAGEREF _Toc124613018 \h </w:instrText>
      </w:r>
      <w:r>
        <w:rPr>
          <w:color w:val="auto"/>
        </w:rPr>
        <w:fldChar w:fldCharType="separate"/>
      </w:r>
      <w:r>
        <w:rPr>
          <w:color w:val="auto"/>
        </w:rPr>
        <w:t>67</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"_Toc124613019" </w:instrText>
      </w:r>
      <w:r>
        <w:rPr>
          <w:color w:val="auto"/>
        </w:rPr>
        <w:fldChar w:fldCharType="separate"/>
      </w:r>
      <w:r>
        <w:rPr>
          <w:rStyle w:val="54"/>
          <w:color w:val="auto"/>
        </w:rPr>
        <w:t>12. 合同价格、计量与支付</w:t>
      </w:r>
      <w:r>
        <w:rPr>
          <w:color w:val="auto"/>
        </w:rPr>
        <w:tab/>
      </w:r>
      <w:r>
        <w:rPr>
          <w:color w:val="auto"/>
        </w:rPr>
        <w:fldChar w:fldCharType="begin"/>
      </w:r>
      <w:r>
        <w:rPr>
          <w:color w:val="auto"/>
        </w:rPr>
        <w:instrText xml:space="preserve"> PAGEREF _Toc124613019 \h </w:instrText>
      </w:r>
      <w:r>
        <w:rPr>
          <w:color w:val="auto"/>
        </w:rPr>
        <w:fldChar w:fldCharType="separate"/>
      </w:r>
      <w:r>
        <w:rPr>
          <w:color w:val="auto"/>
        </w:rPr>
        <w:t>68</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"_Toc124613020" </w:instrText>
      </w:r>
      <w:r>
        <w:rPr>
          <w:color w:val="auto"/>
        </w:rPr>
        <w:fldChar w:fldCharType="separate"/>
      </w:r>
      <w:r>
        <w:rPr>
          <w:rStyle w:val="54"/>
          <w:color w:val="auto"/>
        </w:rPr>
        <w:t>13. 验收和工程试车</w:t>
      </w:r>
      <w:r>
        <w:rPr>
          <w:color w:val="auto"/>
        </w:rPr>
        <w:tab/>
      </w:r>
      <w:r>
        <w:rPr>
          <w:color w:val="auto"/>
        </w:rPr>
        <w:fldChar w:fldCharType="begin"/>
      </w:r>
      <w:r>
        <w:rPr>
          <w:color w:val="auto"/>
        </w:rPr>
        <w:instrText xml:space="preserve"> PAGEREF _Toc124613020 \h </w:instrText>
      </w:r>
      <w:r>
        <w:rPr>
          <w:color w:val="auto"/>
        </w:rPr>
        <w:fldChar w:fldCharType="separate"/>
      </w:r>
      <w:r>
        <w:rPr>
          <w:color w:val="auto"/>
        </w:rPr>
        <w:t>69</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"_Toc124613021" </w:instrText>
      </w:r>
      <w:r>
        <w:rPr>
          <w:color w:val="auto"/>
        </w:rPr>
        <w:fldChar w:fldCharType="separate"/>
      </w:r>
      <w:r>
        <w:rPr>
          <w:rStyle w:val="54"/>
          <w:color w:val="auto"/>
        </w:rPr>
        <w:t>14. 竣工结算</w:t>
      </w:r>
      <w:r>
        <w:rPr>
          <w:color w:val="auto"/>
        </w:rPr>
        <w:tab/>
      </w:r>
      <w:r>
        <w:rPr>
          <w:color w:val="auto"/>
        </w:rPr>
        <w:fldChar w:fldCharType="begin"/>
      </w:r>
      <w:r>
        <w:rPr>
          <w:color w:val="auto"/>
        </w:rPr>
        <w:instrText xml:space="preserve"> PAGEREF _Toc124613021 \h </w:instrText>
      </w:r>
      <w:r>
        <w:rPr>
          <w:color w:val="auto"/>
        </w:rPr>
        <w:fldChar w:fldCharType="separate"/>
      </w:r>
      <w:r>
        <w:rPr>
          <w:color w:val="auto"/>
        </w:rPr>
        <w:t>70</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"_Toc124613022" </w:instrText>
      </w:r>
      <w:r>
        <w:rPr>
          <w:color w:val="auto"/>
        </w:rPr>
        <w:fldChar w:fldCharType="separate"/>
      </w:r>
      <w:r>
        <w:rPr>
          <w:rStyle w:val="54"/>
          <w:color w:val="auto"/>
        </w:rPr>
        <w:t>15. 缺陷责任期与保修</w:t>
      </w:r>
      <w:r>
        <w:rPr>
          <w:color w:val="auto"/>
        </w:rPr>
        <w:tab/>
      </w:r>
      <w:r>
        <w:rPr>
          <w:color w:val="auto"/>
        </w:rPr>
        <w:fldChar w:fldCharType="begin"/>
      </w:r>
      <w:r>
        <w:rPr>
          <w:color w:val="auto"/>
        </w:rPr>
        <w:instrText xml:space="preserve"> PAGEREF _Toc124613022 \h </w:instrText>
      </w:r>
      <w:r>
        <w:rPr>
          <w:color w:val="auto"/>
        </w:rPr>
        <w:fldChar w:fldCharType="separate"/>
      </w:r>
      <w:r>
        <w:rPr>
          <w:color w:val="auto"/>
        </w:rPr>
        <w:t>71</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"_Toc124613023" </w:instrText>
      </w:r>
      <w:r>
        <w:rPr>
          <w:color w:val="auto"/>
        </w:rPr>
        <w:fldChar w:fldCharType="separate"/>
      </w:r>
      <w:r>
        <w:rPr>
          <w:rStyle w:val="54"/>
          <w:color w:val="auto"/>
        </w:rPr>
        <w:t>16. 违约</w:t>
      </w:r>
      <w:r>
        <w:rPr>
          <w:color w:val="auto"/>
        </w:rPr>
        <w:tab/>
      </w:r>
      <w:r>
        <w:rPr>
          <w:color w:val="auto"/>
        </w:rPr>
        <w:fldChar w:fldCharType="begin"/>
      </w:r>
      <w:r>
        <w:rPr>
          <w:color w:val="auto"/>
        </w:rPr>
        <w:instrText xml:space="preserve"> PAGEREF _Toc124613023 \h </w:instrText>
      </w:r>
      <w:r>
        <w:rPr>
          <w:color w:val="auto"/>
        </w:rPr>
        <w:fldChar w:fldCharType="separate"/>
      </w:r>
      <w:r>
        <w:rPr>
          <w:color w:val="auto"/>
        </w:rPr>
        <w:t>72</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"_Toc124613024" </w:instrText>
      </w:r>
      <w:r>
        <w:rPr>
          <w:color w:val="auto"/>
        </w:rPr>
        <w:fldChar w:fldCharType="separate"/>
      </w:r>
      <w:r>
        <w:rPr>
          <w:rStyle w:val="54"/>
          <w:color w:val="auto"/>
        </w:rPr>
        <w:t>17. 不可抗力</w:t>
      </w:r>
      <w:r>
        <w:rPr>
          <w:color w:val="auto"/>
        </w:rPr>
        <w:tab/>
      </w:r>
      <w:r>
        <w:rPr>
          <w:color w:val="auto"/>
        </w:rPr>
        <w:fldChar w:fldCharType="begin"/>
      </w:r>
      <w:r>
        <w:rPr>
          <w:color w:val="auto"/>
        </w:rPr>
        <w:instrText xml:space="preserve"> PAGEREF _Toc124613024 \h </w:instrText>
      </w:r>
      <w:r>
        <w:rPr>
          <w:color w:val="auto"/>
        </w:rPr>
        <w:fldChar w:fldCharType="separate"/>
      </w:r>
      <w:r>
        <w:rPr>
          <w:color w:val="auto"/>
        </w:rPr>
        <w:t>73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"_Toc124613025" </w:instrText>
      </w:r>
      <w:r>
        <w:rPr>
          <w:color w:val="auto"/>
        </w:rPr>
        <w:fldChar w:fldCharType="separate"/>
      </w:r>
      <w:r>
        <w:rPr>
          <w:rStyle w:val="54"/>
          <w:color w:val="auto"/>
        </w:rPr>
        <w:t>18. 保险</w:t>
      </w:r>
      <w:r>
        <w:rPr>
          <w:color w:val="auto"/>
        </w:rPr>
        <w:tab/>
      </w:r>
      <w:r>
        <w:rPr>
          <w:color w:val="auto"/>
        </w:rPr>
        <w:fldChar w:fldCharType="begin"/>
      </w:r>
      <w:r>
        <w:rPr>
          <w:color w:val="auto"/>
        </w:rPr>
        <w:instrText xml:space="preserve"> PAGEREF _Toc124613025 \h </w:instrText>
      </w:r>
      <w:r>
        <w:rPr>
          <w:color w:val="auto"/>
        </w:rPr>
        <w:fldChar w:fldCharType="separate"/>
      </w:r>
      <w:r>
        <w:rPr>
          <w:color w:val="auto"/>
        </w:rPr>
        <w:t>73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"_Toc124613026" </w:instrText>
      </w:r>
      <w:r>
        <w:rPr>
          <w:color w:val="auto"/>
        </w:rPr>
        <w:fldChar w:fldCharType="separate"/>
      </w:r>
      <w:r>
        <w:rPr>
          <w:rStyle w:val="54"/>
          <w:color w:val="auto"/>
        </w:rPr>
        <w:t>20. 争议解决</w:t>
      </w:r>
      <w:r>
        <w:rPr>
          <w:color w:val="auto"/>
        </w:rPr>
        <w:tab/>
      </w:r>
      <w:r>
        <w:rPr>
          <w:color w:val="auto"/>
        </w:rPr>
        <w:fldChar w:fldCharType="begin"/>
      </w:r>
      <w:r>
        <w:rPr>
          <w:color w:val="auto"/>
        </w:rPr>
        <w:instrText xml:space="preserve"> PAGEREF _Toc124613026 \h </w:instrText>
      </w:r>
      <w:r>
        <w:rPr>
          <w:color w:val="auto"/>
        </w:rPr>
        <w:fldChar w:fldCharType="separate"/>
      </w:r>
      <w:r>
        <w:rPr>
          <w:color w:val="auto"/>
        </w:rPr>
        <w:t>73</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"_Toc124613027" </w:instrText>
      </w:r>
      <w:r>
        <w:rPr>
          <w:color w:val="auto"/>
        </w:rPr>
        <w:fldChar w:fldCharType="separate"/>
      </w:r>
      <w:r>
        <w:rPr>
          <w:rStyle w:val="54"/>
          <w:color w:val="auto"/>
        </w:rPr>
        <w:t>第六章 工程量清单</w:t>
      </w:r>
      <w:r>
        <w:rPr>
          <w:color w:val="auto"/>
        </w:rPr>
        <w:tab/>
      </w:r>
      <w:r>
        <w:rPr>
          <w:color w:val="auto"/>
        </w:rPr>
        <w:fldChar w:fldCharType="begin"/>
      </w:r>
      <w:r>
        <w:rPr>
          <w:color w:val="auto"/>
        </w:rPr>
        <w:instrText xml:space="preserve"> PAGEREF _Toc124613027 \h </w:instrText>
      </w:r>
      <w:r>
        <w:rPr>
          <w:color w:val="auto"/>
        </w:rPr>
        <w:fldChar w:fldCharType="separate"/>
      </w:r>
      <w:r>
        <w:rPr>
          <w:color w:val="auto"/>
        </w:rPr>
        <w:t>79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"_Toc124613028" </w:instrText>
      </w:r>
      <w:r>
        <w:rPr>
          <w:color w:val="auto"/>
        </w:rPr>
        <w:fldChar w:fldCharType="separate"/>
      </w:r>
      <w:r>
        <w:rPr>
          <w:rStyle w:val="54"/>
          <w:color w:val="auto"/>
        </w:rPr>
        <w:t>1. 工程量清单说明</w:t>
      </w:r>
      <w:r>
        <w:rPr>
          <w:color w:val="auto"/>
        </w:rPr>
        <w:tab/>
      </w:r>
      <w:r>
        <w:rPr>
          <w:color w:val="auto"/>
        </w:rPr>
        <w:fldChar w:fldCharType="begin"/>
      </w:r>
      <w:r>
        <w:rPr>
          <w:color w:val="auto"/>
        </w:rPr>
        <w:instrText xml:space="preserve"> PAGEREF _Toc124613028 \h </w:instrText>
      </w:r>
      <w:r>
        <w:rPr>
          <w:color w:val="auto"/>
        </w:rPr>
        <w:fldChar w:fldCharType="separate"/>
      </w:r>
      <w:r>
        <w:rPr>
          <w:color w:val="auto"/>
        </w:rPr>
        <w:t>79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"_Toc124613029" </w:instrText>
      </w:r>
      <w:r>
        <w:rPr>
          <w:color w:val="auto"/>
        </w:rPr>
        <w:fldChar w:fldCharType="separate"/>
      </w:r>
      <w:r>
        <w:rPr>
          <w:rStyle w:val="54"/>
          <w:color w:val="auto"/>
        </w:rPr>
        <w:t>2. 投标报价说明</w:t>
      </w:r>
      <w:r>
        <w:rPr>
          <w:color w:val="auto"/>
        </w:rPr>
        <w:tab/>
      </w:r>
      <w:r>
        <w:rPr>
          <w:color w:val="auto"/>
        </w:rPr>
        <w:fldChar w:fldCharType="begin"/>
      </w:r>
      <w:r>
        <w:rPr>
          <w:color w:val="auto"/>
        </w:rPr>
        <w:instrText xml:space="preserve"> PAGEREF _Toc124613029 \h </w:instrText>
      </w:r>
      <w:r>
        <w:rPr>
          <w:color w:val="auto"/>
        </w:rPr>
        <w:fldChar w:fldCharType="separate"/>
      </w:r>
      <w:r>
        <w:rPr>
          <w:color w:val="auto"/>
        </w:rPr>
        <w:t>79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"_Toc124613030" </w:instrText>
      </w:r>
      <w:r>
        <w:rPr>
          <w:color w:val="auto"/>
        </w:rPr>
        <w:fldChar w:fldCharType="separate"/>
      </w:r>
      <w:r>
        <w:rPr>
          <w:rStyle w:val="54"/>
          <w:color w:val="auto"/>
        </w:rPr>
        <w:t>3. 其他说明</w:t>
      </w:r>
      <w:r>
        <w:rPr>
          <w:color w:val="auto"/>
        </w:rPr>
        <w:tab/>
      </w:r>
      <w:r>
        <w:rPr>
          <w:color w:val="auto"/>
        </w:rPr>
        <w:fldChar w:fldCharType="begin"/>
      </w:r>
      <w:r>
        <w:rPr>
          <w:color w:val="auto"/>
        </w:rPr>
        <w:instrText xml:space="preserve"> PAGEREF _Toc124613030 \h </w:instrText>
      </w:r>
      <w:r>
        <w:rPr>
          <w:color w:val="auto"/>
        </w:rPr>
        <w:fldChar w:fldCharType="separate"/>
      </w:r>
      <w:r>
        <w:rPr>
          <w:color w:val="auto"/>
        </w:rPr>
        <w:t>79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"_Toc124613031" </w:instrText>
      </w:r>
      <w:r>
        <w:rPr>
          <w:color w:val="auto"/>
        </w:rPr>
        <w:fldChar w:fldCharType="separate"/>
      </w:r>
      <w:r>
        <w:rPr>
          <w:rStyle w:val="54"/>
          <w:color w:val="auto"/>
        </w:rPr>
        <w:t>4. 工程量清单</w:t>
      </w:r>
      <w:r>
        <w:rPr>
          <w:color w:val="auto"/>
        </w:rPr>
        <w:tab/>
      </w:r>
      <w:r>
        <w:rPr>
          <w:color w:val="auto"/>
        </w:rPr>
        <w:fldChar w:fldCharType="begin"/>
      </w:r>
      <w:r>
        <w:rPr>
          <w:color w:val="auto"/>
        </w:rPr>
        <w:instrText xml:space="preserve"> PAGEREF _Toc124613031 \h </w:instrText>
      </w:r>
      <w:r>
        <w:rPr>
          <w:color w:val="auto"/>
        </w:rPr>
        <w:fldChar w:fldCharType="separate"/>
      </w:r>
      <w:r>
        <w:rPr>
          <w:color w:val="auto"/>
        </w:rPr>
        <w:t>80</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"_Toc124613032" </w:instrText>
      </w:r>
      <w:r>
        <w:rPr>
          <w:color w:val="auto"/>
        </w:rPr>
        <w:fldChar w:fldCharType="separate"/>
      </w:r>
      <w:r>
        <w:rPr>
          <w:rStyle w:val="54"/>
          <w:color w:val="auto"/>
        </w:rPr>
        <w:t>第七章 图纸</w:t>
      </w:r>
      <w:r>
        <w:rPr>
          <w:color w:val="auto"/>
        </w:rPr>
        <w:tab/>
      </w:r>
      <w:r>
        <w:rPr>
          <w:color w:val="auto"/>
        </w:rPr>
        <w:fldChar w:fldCharType="begin"/>
      </w:r>
      <w:r>
        <w:rPr>
          <w:color w:val="auto"/>
        </w:rPr>
        <w:instrText xml:space="preserve"> PAGEREF _Toc124613032 \h </w:instrText>
      </w:r>
      <w:r>
        <w:rPr>
          <w:color w:val="auto"/>
        </w:rPr>
        <w:fldChar w:fldCharType="separate"/>
      </w:r>
      <w:r>
        <w:rPr>
          <w:color w:val="auto"/>
        </w:rPr>
        <w:t>81</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"_Toc124613033" </w:instrText>
      </w:r>
      <w:r>
        <w:rPr>
          <w:color w:val="auto"/>
        </w:rPr>
        <w:fldChar w:fldCharType="separate"/>
      </w:r>
      <w:r>
        <w:rPr>
          <w:rStyle w:val="54"/>
          <w:color w:val="auto"/>
        </w:rPr>
        <w:t>第八章 技术标准和要求</w:t>
      </w:r>
      <w:r>
        <w:rPr>
          <w:color w:val="auto"/>
        </w:rPr>
        <w:tab/>
      </w:r>
      <w:r>
        <w:rPr>
          <w:color w:val="auto"/>
        </w:rPr>
        <w:fldChar w:fldCharType="begin"/>
      </w:r>
      <w:r>
        <w:rPr>
          <w:color w:val="auto"/>
        </w:rPr>
        <w:instrText xml:space="preserve"> PAGEREF _Toc124613033 \h </w:instrText>
      </w:r>
      <w:r>
        <w:rPr>
          <w:color w:val="auto"/>
        </w:rPr>
        <w:fldChar w:fldCharType="separate"/>
      </w:r>
      <w:r>
        <w:rPr>
          <w:color w:val="auto"/>
        </w:rPr>
        <w:t>82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"_Toc124613034" </w:instrText>
      </w:r>
      <w:r>
        <w:rPr>
          <w:color w:val="auto"/>
        </w:rPr>
        <w:fldChar w:fldCharType="separate"/>
      </w:r>
      <w:r>
        <w:rPr>
          <w:rStyle w:val="54"/>
          <w:color w:val="auto"/>
        </w:rPr>
        <w:t>1.招标工程现场施工条件</w:t>
      </w:r>
      <w:r>
        <w:rPr>
          <w:color w:val="auto"/>
        </w:rPr>
        <w:tab/>
      </w:r>
      <w:r>
        <w:rPr>
          <w:color w:val="auto"/>
        </w:rPr>
        <w:fldChar w:fldCharType="begin"/>
      </w:r>
      <w:r>
        <w:rPr>
          <w:color w:val="auto"/>
        </w:rPr>
        <w:instrText xml:space="preserve"> PAGEREF _Toc124613034 \h </w:instrText>
      </w:r>
      <w:r>
        <w:rPr>
          <w:color w:val="auto"/>
        </w:rPr>
        <w:fldChar w:fldCharType="separate"/>
      </w:r>
      <w:r>
        <w:rPr>
          <w:color w:val="auto"/>
        </w:rPr>
        <w:t>83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"_Toc124613035" </w:instrText>
      </w:r>
      <w:r>
        <w:rPr>
          <w:color w:val="auto"/>
        </w:rPr>
        <w:fldChar w:fldCharType="separate"/>
      </w:r>
      <w:r>
        <w:rPr>
          <w:rStyle w:val="54"/>
          <w:color w:val="auto"/>
        </w:rPr>
        <w:t>2.工程质量控制标准和使用材料的要求</w:t>
      </w:r>
      <w:r>
        <w:rPr>
          <w:color w:val="auto"/>
        </w:rPr>
        <w:tab/>
      </w:r>
      <w:r>
        <w:rPr>
          <w:color w:val="auto"/>
        </w:rPr>
        <w:fldChar w:fldCharType="begin"/>
      </w:r>
      <w:r>
        <w:rPr>
          <w:color w:val="auto"/>
        </w:rPr>
        <w:instrText xml:space="preserve"> PAGEREF _Toc124613035 \h </w:instrText>
      </w:r>
      <w:r>
        <w:rPr>
          <w:color w:val="auto"/>
        </w:rPr>
        <w:fldChar w:fldCharType="separate"/>
      </w:r>
      <w:r>
        <w:rPr>
          <w:color w:val="auto"/>
        </w:rPr>
        <w:t>83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"_Toc124613036" </w:instrText>
      </w:r>
      <w:r>
        <w:rPr>
          <w:color w:val="auto"/>
        </w:rPr>
        <w:fldChar w:fldCharType="separate"/>
      </w:r>
      <w:r>
        <w:rPr>
          <w:rStyle w:val="54"/>
          <w:color w:val="auto"/>
        </w:rPr>
        <w:t>3.工程招标范围、内容和承包方式</w:t>
      </w:r>
      <w:r>
        <w:rPr>
          <w:color w:val="auto"/>
        </w:rPr>
        <w:tab/>
      </w:r>
      <w:r>
        <w:rPr>
          <w:color w:val="auto"/>
        </w:rPr>
        <w:fldChar w:fldCharType="begin"/>
      </w:r>
      <w:r>
        <w:rPr>
          <w:color w:val="auto"/>
        </w:rPr>
        <w:instrText xml:space="preserve"> PAGEREF _Toc124613036 \h </w:instrText>
      </w:r>
      <w:r>
        <w:rPr>
          <w:color w:val="auto"/>
        </w:rPr>
        <w:fldChar w:fldCharType="separate"/>
      </w:r>
      <w:r>
        <w:rPr>
          <w:color w:val="auto"/>
        </w:rPr>
        <w:t>84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"_Toc124613037" </w:instrText>
      </w:r>
      <w:r>
        <w:rPr>
          <w:color w:val="auto"/>
        </w:rPr>
        <w:fldChar w:fldCharType="separate"/>
      </w:r>
      <w:r>
        <w:rPr>
          <w:rStyle w:val="54"/>
          <w:color w:val="auto"/>
        </w:rPr>
        <w:t>4.工期要求和规定</w:t>
      </w:r>
      <w:r>
        <w:rPr>
          <w:color w:val="auto"/>
        </w:rPr>
        <w:tab/>
      </w:r>
      <w:r>
        <w:rPr>
          <w:color w:val="auto"/>
        </w:rPr>
        <w:fldChar w:fldCharType="begin"/>
      </w:r>
      <w:r>
        <w:rPr>
          <w:color w:val="auto"/>
        </w:rPr>
        <w:instrText xml:space="preserve"> PAGEREF _Toc124613037 \h </w:instrText>
      </w:r>
      <w:r>
        <w:rPr>
          <w:color w:val="auto"/>
        </w:rPr>
        <w:fldChar w:fldCharType="separate"/>
      </w:r>
      <w:r>
        <w:rPr>
          <w:color w:val="auto"/>
        </w:rPr>
        <w:t>84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"_Toc124613038" </w:instrText>
      </w:r>
      <w:r>
        <w:rPr>
          <w:color w:val="auto"/>
        </w:rPr>
        <w:fldChar w:fldCharType="separate"/>
      </w:r>
      <w:r>
        <w:rPr>
          <w:rStyle w:val="54"/>
          <w:color w:val="auto"/>
        </w:rPr>
        <w:t>5.工程竣工资料要求</w:t>
      </w:r>
      <w:r>
        <w:rPr>
          <w:color w:val="auto"/>
        </w:rPr>
        <w:tab/>
      </w:r>
      <w:r>
        <w:rPr>
          <w:color w:val="auto"/>
        </w:rPr>
        <w:fldChar w:fldCharType="begin"/>
      </w:r>
      <w:r>
        <w:rPr>
          <w:color w:val="auto"/>
        </w:rPr>
        <w:instrText xml:space="preserve"> PAGEREF _Toc124613038 \h </w:instrText>
      </w:r>
      <w:r>
        <w:rPr>
          <w:color w:val="auto"/>
        </w:rPr>
        <w:fldChar w:fldCharType="separate"/>
      </w:r>
      <w:r>
        <w:rPr>
          <w:color w:val="auto"/>
        </w:rPr>
        <w:t>85</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"_Toc124613039" </w:instrText>
      </w:r>
      <w:r>
        <w:rPr>
          <w:color w:val="auto"/>
        </w:rPr>
        <w:fldChar w:fldCharType="separate"/>
      </w:r>
      <w:r>
        <w:rPr>
          <w:rStyle w:val="54"/>
          <w:color w:val="auto"/>
        </w:rPr>
        <w:t>6.工程保修期与缺陷责任期</w:t>
      </w:r>
      <w:r>
        <w:rPr>
          <w:color w:val="auto"/>
        </w:rPr>
        <w:tab/>
      </w:r>
      <w:r>
        <w:rPr>
          <w:color w:val="auto"/>
        </w:rPr>
        <w:fldChar w:fldCharType="begin"/>
      </w:r>
      <w:r>
        <w:rPr>
          <w:color w:val="auto"/>
        </w:rPr>
        <w:instrText xml:space="preserve"> PAGEREF _Toc124613039 \h </w:instrText>
      </w:r>
      <w:r>
        <w:rPr>
          <w:color w:val="auto"/>
        </w:rPr>
        <w:fldChar w:fldCharType="separate"/>
      </w:r>
      <w:r>
        <w:rPr>
          <w:color w:val="auto"/>
        </w:rPr>
        <w:t>85</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"_Toc124613040" </w:instrText>
      </w:r>
      <w:r>
        <w:rPr>
          <w:color w:val="auto"/>
        </w:rPr>
        <w:fldChar w:fldCharType="separate"/>
      </w:r>
      <w:r>
        <w:rPr>
          <w:rStyle w:val="54"/>
          <w:color w:val="auto"/>
        </w:rPr>
        <w:t>7.工程款结算及拨付方式</w:t>
      </w:r>
      <w:r>
        <w:rPr>
          <w:color w:val="auto"/>
        </w:rPr>
        <w:tab/>
      </w:r>
      <w:r>
        <w:rPr>
          <w:color w:val="auto"/>
        </w:rPr>
        <w:fldChar w:fldCharType="begin"/>
      </w:r>
      <w:r>
        <w:rPr>
          <w:color w:val="auto"/>
        </w:rPr>
        <w:instrText xml:space="preserve"> PAGEREF _Toc124613040 \h </w:instrText>
      </w:r>
      <w:r>
        <w:rPr>
          <w:color w:val="auto"/>
        </w:rPr>
        <w:fldChar w:fldCharType="separate"/>
      </w:r>
      <w:r>
        <w:rPr>
          <w:color w:val="auto"/>
        </w:rPr>
        <w:t>85</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"_Toc124613041" </w:instrText>
      </w:r>
      <w:r>
        <w:rPr>
          <w:color w:val="auto"/>
        </w:rPr>
        <w:fldChar w:fldCharType="separate"/>
      </w:r>
      <w:r>
        <w:rPr>
          <w:rStyle w:val="54"/>
          <w:color w:val="auto"/>
        </w:rPr>
        <w:t>8.工程建设执行的标准</w:t>
      </w:r>
      <w:r>
        <w:rPr>
          <w:color w:val="auto"/>
        </w:rPr>
        <w:tab/>
      </w:r>
      <w:r>
        <w:rPr>
          <w:color w:val="auto"/>
        </w:rPr>
        <w:fldChar w:fldCharType="begin"/>
      </w:r>
      <w:r>
        <w:rPr>
          <w:color w:val="auto"/>
        </w:rPr>
        <w:instrText xml:space="preserve"> PAGEREF _Toc124613041 \h </w:instrText>
      </w:r>
      <w:r>
        <w:rPr>
          <w:color w:val="auto"/>
        </w:rPr>
        <w:fldChar w:fldCharType="separate"/>
      </w:r>
      <w:r>
        <w:rPr>
          <w:color w:val="auto"/>
        </w:rPr>
        <w:t>90</w:t>
      </w:r>
      <w:r>
        <w:rPr>
          <w:color w:val="auto"/>
        </w:rPr>
        <w:fldChar w:fldCharType="end"/>
      </w:r>
      <w:r>
        <w:rPr>
          <w:color w:val="auto"/>
        </w:rPr>
        <w:fldChar w:fldCharType="end"/>
      </w:r>
    </w:p>
    <w:p>
      <w:pPr>
        <w:pStyle w:val="31"/>
        <w:tabs>
          <w:tab w:val="right" w:leader="dot" w:pos="9061"/>
        </w:tabs>
        <w:rPr>
          <w:rFonts w:asciiTheme="minorHAnsi" w:hAnsiTheme="minorHAnsi" w:eastAsiaTheme="minorEastAsia" w:cstheme="minorBidi"/>
          <w:b w:val="0"/>
          <w:bCs w:val="0"/>
          <w:caps w:val="0"/>
          <w:color w:val="auto"/>
          <w:sz w:val="21"/>
          <w:szCs w:val="22"/>
        </w:rPr>
      </w:pPr>
      <w:r>
        <w:rPr>
          <w:color w:val="auto"/>
        </w:rPr>
        <w:fldChar w:fldCharType="begin"/>
      </w:r>
      <w:r>
        <w:rPr>
          <w:color w:val="auto"/>
        </w:rPr>
        <w:instrText xml:space="preserve"> HYPERLINK \l "_Toc124613042" </w:instrText>
      </w:r>
      <w:r>
        <w:rPr>
          <w:color w:val="auto"/>
        </w:rPr>
        <w:fldChar w:fldCharType="separate"/>
      </w:r>
      <w:r>
        <w:rPr>
          <w:rStyle w:val="54"/>
          <w:color w:val="auto"/>
        </w:rPr>
        <w:t>第九章 投标文件格式</w:t>
      </w:r>
      <w:r>
        <w:rPr>
          <w:color w:val="auto"/>
        </w:rPr>
        <w:tab/>
      </w:r>
      <w:r>
        <w:rPr>
          <w:color w:val="auto"/>
        </w:rPr>
        <w:fldChar w:fldCharType="begin"/>
      </w:r>
      <w:r>
        <w:rPr>
          <w:color w:val="auto"/>
        </w:rPr>
        <w:instrText xml:space="preserve"> PAGEREF _Toc124613042 \h </w:instrText>
      </w:r>
      <w:r>
        <w:rPr>
          <w:color w:val="auto"/>
        </w:rPr>
        <w:fldChar w:fldCharType="separate"/>
      </w:r>
      <w:r>
        <w:rPr>
          <w:color w:val="auto"/>
        </w:rPr>
        <w:t>93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"_Toc124613043" </w:instrText>
      </w:r>
      <w:r>
        <w:rPr>
          <w:color w:val="auto"/>
        </w:rPr>
        <w:fldChar w:fldCharType="separate"/>
      </w:r>
      <w:r>
        <w:rPr>
          <w:rStyle w:val="54"/>
          <w:b/>
          <w:bCs/>
          <w:color w:val="auto"/>
        </w:rPr>
        <w:t>（第一册 商务投标文件）</w:t>
      </w:r>
      <w:r>
        <w:rPr>
          <w:color w:val="auto"/>
        </w:rPr>
        <w:tab/>
      </w:r>
      <w:r>
        <w:rPr>
          <w:color w:val="auto"/>
        </w:rPr>
        <w:fldChar w:fldCharType="begin"/>
      </w:r>
      <w:r>
        <w:rPr>
          <w:color w:val="auto"/>
        </w:rPr>
        <w:instrText xml:space="preserve"> PAGEREF _Toc124613043 \h </w:instrText>
      </w:r>
      <w:r>
        <w:rPr>
          <w:color w:val="auto"/>
        </w:rPr>
        <w:fldChar w:fldCharType="separate"/>
      </w:r>
      <w:r>
        <w:rPr>
          <w:color w:val="auto"/>
        </w:rPr>
        <w:t>94</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"_Toc124613044" </w:instrText>
      </w:r>
      <w:r>
        <w:rPr>
          <w:color w:val="auto"/>
        </w:rPr>
        <w:fldChar w:fldCharType="separate"/>
      </w:r>
      <w:r>
        <w:rPr>
          <w:rStyle w:val="54"/>
          <w:color w:val="auto"/>
        </w:rPr>
        <w:t>电子签章和电子签名扉页</w:t>
      </w:r>
      <w:r>
        <w:rPr>
          <w:color w:val="auto"/>
        </w:rPr>
        <w:tab/>
      </w:r>
      <w:r>
        <w:rPr>
          <w:color w:val="auto"/>
        </w:rPr>
        <w:fldChar w:fldCharType="begin"/>
      </w:r>
      <w:r>
        <w:rPr>
          <w:color w:val="auto"/>
        </w:rPr>
        <w:instrText xml:space="preserve"> PAGEREF _Toc124613044 \h </w:instrText>
      </w:r>
      <w:r>
        <w:rPr>
          <w:color w:val="auto"/>
        </w:rPr>
        <w:fldChar w:fldCharType="separate"/>
      </w:r>
      <w:r>
        <w:rPr>
          <w:color w:val="auto"/>
        </w:rPr>
        <w:t>95</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"_Toc124613045" </w:instrText>
      </w:r>
      <w:r>
        <w:rPr>
          <w:color w:val="auto"/>
        </w:rPr>
        <w:fldChar w:fldCharType="separate"/>
      </w:r>
      <w:r>
        <w:rPr>
          <w:rStyle w:val="54"/>
          <w:color w:val="auto"/>
        </w:rPr>
        <w:t>目  录</w:t>
      </w:r>
      <w:r>
        <w:rPr>
          <w:color w:val="auto"/>
        </w:rPr>
        <w:tab/>
      </w:r>
      <w:r>
        <w:rPr>
          <w:color w:val="auto"/>
        </w:rPr>
        <w:fldChar w:fldCharType="begin"/>
      </w:r>
      <w:r>
        <w:rPr>
          <w:color w:val="auto"/>
        </w:rPr>
        <w:instrText xml:space="preserve"> PAGEREF _Toc124613045 \h </w:instrText>
      </w:r>
      <w:r>
        <w:rPr>
          <w:color w:val="auto"/>
        </w:rPr>
        <w:fldChar w:fldCharType="separate"/>
      </w:r>
      <w:r>
        <w:rPr>
          <w:color w:val="auto"/>
        </w:rPr>
        <w:t>96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"_Toc124613046" </w:instrText>
      </w:r>
      <w:r>
        <w:rPr>
          <w:color w:val="auto"/>
        </w:rPr>
        <w:fldChar w:fldCharType="separate"/>
      </w:r>
      <w:r>
        <w:rPr>
          <w:rStyle w:val="54"/>
          <w:color w:val="auto"/>
        </w:rPr>
        <w:t>一、投标函及投标函附录</w:t>
      </w:r>
      <w:r>
        <w:rPr>
          <w:color w:val="auto"/>
        </w:rPr>
        <w:tab/>
      </w:r>
      <w:r>
        <w:rPr>
          <w:color w:val="auto"/>
        </w:rPr>
        <w:fldChar w:fldCharType="begin"/>
      </w:r>
      <w:r>
        <w:rPr>
          <w:color w:val="auto"/>
        </w:rPr>
        <w:instrText xml:space="preserve"> PAGEREF _Toc124613046 \h </w:instrText>
      </w:r>
      <w:r>
        <w:rPr>
          <w:color w:val="auto"/>
        </w:rPr>
        <w:fldChar w:fldCharType="separate"/>
      </w:r>
      <w:r>
        <w:rPr>
          <w:color w:val="auto"/>
        </w:rPr>
        <w:t>97</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"_Toc124613047" </w:instrText>
      </w:r>
      <w:r>
        <w:rPr>
          <w:color w:val="auto"/>
        </w:rPr>
        <w:fldChar w:fldCharType="separate"/>
      </w:r>
      <w:r>
        <w:rPr>
          <w:rStyle w:val="54"/>
          <w:color w:val="auto"/>
        </w:rPr>
        <w:t>（一）投标函</w:t>
      </w:r>
      <w:r>
        <w:rPr>
          <w:color w:val="auto"/>
        </w:rPr>
        <w:tab/>
      </w:r>
      <w:r>
        <w:rPr>
          <w:color w:val="auto"/>
        </w:rPr>
        <w:fldChar w:fldCharType="begin"/>
      </w:r>
      <w:r>
        <w:rPr>
          <w:color w:val="auto"/>
        </w:rPr>
        <w:instrText xml:space="preserve"> PAGEREF _Toc124613047 \h </w:instrText>
      </w:r>
      <w:r>
        <w:rPr>
          <w:color w:val="auto"/>
        </w:rPr>
        <w:fldChar w:fldCharType="separate"/>
      </w:r>
      <w:r>
        <w:rPr>
          <w:color w:val="auto"/>
        </w:rPr>
        <w:t>97</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"_Toc124613048" </w:instrText>
      </w:r>
      <w:r>
        <w:rPr>
          <w:color w:val="auto"/>
        </w:rPr>
        <w:fldChar w:fldCharType="separate"/>
      </w:r>
      <w:r>
        <w:rPr>
          <w:rStyle w:val="54"/>
          <w:color w:val="auto"/>
        </w:rPr>
        <w:t>（二）投标函附录</w:t>
      </w:r>
      <w:r>
        <w:rPr>
          <w:color w:val="auto"/>
        </w:rPr>
        <w:tab/>
      </w:r>
      <w:r>
        <w:rPr>
          <w:color w:val="auto"/>
        </w:rPr>
        <w:fldChar w:fldCharType="begin"/>
      </w:r>
      <w:r>
        <w:rPr>
          <w:color w:val="auto"/>
        </w:rPr>
        <w:instrText xml:space="preserve"> PAGEREF _Toc124613048 \h </w:instrText>
      </w:r>
      <w:r>
        <w:rPr>
          <w:color w:val="auto"/>
        </w:rPr>
        <w:fldChar w:fldCharType="separate"/>
      </w:r>
      <w:r>
        <w:rPr>
          <w:color w:val="auto"/>
        </w:rPr>
        <w:t>98</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"_Toc124613049" </w:instrText>
      </w:r>
      <w:r>
        <w:rPr>
          <w:color w:val="auto"/>
        </w:rPr>
        <w:fldChar w:fldCharType="separate"/>
      </w:r>
      <w:r>
        <w:rPr>
          <w:rStyle w:val="54"/>
          <w:color w:val="auto"/>
        </w:rPr>
        <w:t>二、法定代表人身份证明或附有法定代表人身份证明的授权委托书</w:t>
      </w:r>
      <w:r>
        <w:rPr>
          <w:color w:val="auto"/>
        </w:rPr>
        <w:tab/>
      </w:r>
      <w:r>
        <w:rPr>
          <w:color w:val="auto"/>
        </w:rPr>
        <w:fldChar w:fldCharType="begin"/>
      </w:r>
      <w:r>
        <w:rPr>
          <w:color w:val="auto"/>
        </w:rPr>
        <w:instrText xml:space="preserve"> PAGEREF _Toc124613049 \h </w:instrText>
      </w:r>
      <w:r>
        <w:rPr>
          <w:color w:val="auto"/>
        </w:rPr>
        <w:fldChar w:fldCharType="separate"/>
      </w:r>
      <w:r>
        <w:rPr>
          <w:color w:val="auto"/>
        </w:rPr>
        <w:t>99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"_Toc124613050" </w:instrText>
      </w:r>
      <w:r>
        <w:rPr>
          <w:color w:val="auto"/>
        </w:rPr>
        <w:fldChar w:fldCharType="separate"/>
      </w:r>
      <w:r>
        <w:rPr>
          <w:rStyle w:val="54"/>
          <w:color w:val="auto"/>
        </w:rPr>
        <w:t>三、联合体协议书（如有）</w:t>
      </w:r>
      <w:r>
        <w:rPr>
          <w:color w:val="auto"/>
        </w:rPr>
        <w:tab/>
      </w:r>
      <w:r>
        <w:rPr>
          <w:color w:val="auto"/>
        </w:rPr>
        <w:fldChar w:fldCharType="begin"/>
      </w:r>
      <w:r>
        <w:rPr>
          <w:color w:val="auto"/>
        </w:rPr>
        <w:instrText xml:space="preserve"> PAGEREF _Toc124613050 \h </w:instrText>
      </w:r>
      <w:r>
        <w:rPr>
          <w:color w:val="auto"/>
        </w:rPr>
        <w:fldChar w:fldCharType="separate"/>
      </w:r>
      <w:r>
        <w:rPr>
          <w:color w:val="auto"/>
        </w:rPr>
        <w:t>101</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"_Toc124613051" </w:instrText>
      </w:r>
      <w:r>
        <w:rPr>
          <w:color w:val="auto"/>
        </w:rPr>
        <w:fldChar w:fldCharType="separate"/>
      </w:r>
      <w:r>
        <w:rPr>
          <w:rStyle w:val="54"/>
          <w:color w:val="auto"/>
        </w:rPr>
        <w:t>四、投标保证金</w:t>
      </w:r>
      <w:r>
        <w:rPr>
          <w:color w:val="auto"/>
        </w:rPr>
        <w:tab/>
      </w:r>
      <w:r>
        <w:rPr>
          <w:color w:val="auto"/>
        </w:rPr>
        <w:fldChar w:fldCharType="begin"/>
      </w:r>
      <w:r>
        <w:rPr>
          <w:color w:val="auto"/>
        </w:rPr>
        <w:instrText xml:space="preserve"> PAGEREF _Toc124613051 \h </w:instrText>
      </w:r>
      <w:r>
        <w:rPr>
          <w:color w:val="auto"/>
        </w:rPr>
        <w:fldChar w:fldCharType="separate"/>
      </w:r>
      <w:r>
        <w:rPr>
          <w:color w:val="auto"/>
        </w:rPr>
        <w:t>102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"_Toc124613052" </w:instrText>
      </w:r>
      <w:r>
        <w:rPr>
          <w:color w:val="auto"/>
        </w:rPr>
        <w:fldChar w:fldCharType="separate"/>
      </w:r>
      <w:r>
        <w:rPr>
          <w:rStyle w:val="54"/>
          <w:color w:val="auto"/>
        </w:rPr>
        <w:t>五、资格审查资料</w:t>
      </w:r>
      <w:r>
        <w:rPr>
          <w:color w:val="auto"/>
        </w:rPr>
        <w:tab/>
      </w:r>
      <w:r>
        <w:rPr>
          <w:color w:val="auto"/>
        </w:rPr>
        <w:fldChar w:fldCharType="begin"/>
      </w:r>
      <w:r>
        <w:rPr>
          <w:color w:val="auto"/>
        </w:rPr>
        <w:instrText xml:space="preserve"> PAGEREF _Toc124613052 \h </w:instrText>
      </w:r>
      <w:r>
        <w:rPr>
          <w:color w:val="auto"/>
        </w:rPr>
        <w:fldChar w:fldCharType="separate"/>
      </w:r>
      <w:r>
        <w:rPr>
          <w:color w:val="auto"/>
        </w:rPr>
        <w:t>103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"_Toc124613053" </w:instrText>
      </w:r>
      <w:r>
        <w:rPr>
          <w:color w:val="auto"/>
        </w:rPr>
        <w:fldChar w:fldCharType="separate"/>
      </w:r>
      <w:r>
        <w:rPr>
          <w:rStyle w:val="54"/>
          <w:color w:val="auto"/>
        </w:rPr>
        <w:t>（一）投标人基本情况表</w:t>
      </w:r>
      <w:r>
        <w:rPr>
          <w:color w:val="auto"/>
        </w:rPr>
        <w:tab/>
      </w:r>
      <w:r>
        <w:rPr>
          <w:color w:val="auto"/>
        </w:rPr>
        <w:fldChar w:fldCharType="begin"/>
      </w:r>
      <w:r>
        <w:rPr>
          <w:color w:val="auto"/>
        </w:rPr>
        <w:instrText xml:space="preserve"> PAGEREF _Toc124613053 \h </w:instrText>
      </w:r>
      <w:r>
        <w:rPr>
          <w:color w:val="auto"/>
        </w:rPr>
        <w:fldChar w:fldCharType="separate"/>
      </w:r>
      <w:r>
        <w:rPr>
          <w:color w:val="auto"/>
        </w:rPr>
        <w:t>103</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"_Toc124613054" </w:instrText>
      </w:r>
      <w:r>
        <w:rPr>
          <w:color w:val="auto"/>
        </w:rPr>
        <w:fldChar w:fldCharType="separate"/>
      </w:r>
      <w:r>
        <w:rPr>
          <w:rStyle w:val="54"/>
          <w:color w:val="auto"/>
        </w:rPr>
        <w:t>（二）项目管理机构组成</w:t>
      </w:r>
      <w:r>
        <w:rPr>
          <w:color w:val="auto"/>
        </w:rPr>
        <w:tab/>
      </w:r>
      <w:r>
        <w:rPr>
          <w:color w:val="auto"/>
        </w:rPr>
        <w:fldChar w:fldCharType="begin"/>
      </w:r>
      <w:r>
        <w:rPr>
          <w:color w:val="auto"/>
        </w:rPr>
        <w:instrText xml:space="preserve"> PAGEREF _Toc124613054 \h </w:instrText>
      </w:r>
      <w:r>
        <w:rPr>
          <w:color w:val="auto"/>
        </w:rPr>
        <w:fldChar w:fldCharType="separate"/>
      </w:r>
      <w:r>
        <w:rPr>
          <w:color w:val="auto"/>
        </w:rPr>
        <w:t>104</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"_Toc124613055" </w:instrText>
      </w:r>
      <w:r>
        <w:rPr>
          <w:color w:val="auto"/>
        </w:rPr>
        <w:fldChar w:fldCharType="separate"/>
      </w:r>
      <w:r>
        <w:rPr>
          <w:rStyle w:val="54"/>
          <w:color w:val="auto"/>
        </w:rPr>
        <w:t>（三）近年完成的类似项目情况表</w:t>
      </w:r>
      <w:r>
        <w:rPr>
          <w:color w:val="auto"/>
        </w:rPr>
        <w:tab/>
      </w:r>
      <w:r>
        <w:rPr>
          <w:color w:val="auto"/>
        </w:rPr>
        <w:fldChar w:fldCharType="begin"/>
      </w:r>
      <w:r>
        <w:rPr>
          <w:color w:val="auto"/>
        </w:rPr>
        <w:instrText xml:space="preserve"> PAGEREF _Toc124613055 \h </w:instrText>
      </w:r>
      <w:r>
        <w:rPr>
          <w:color w:val="auto"/>
        </w:rPr>
        <w:fldChar w:fldCharType="separate"/>
      </w:r>
      <w:r>
        <w:rPr>
          <w:color w:val="auto"/>
        </w:rPr>
        <w:t>105</w:t>
      </w:r>
      <w:r>
        <w:rPr>
          <w:color w:val="auto"/>
        </w:rPr>
        <w:fldChar w:fldCharType="end"/>
      </w:r>
      <w:r>
        <w:rPr>
          <w:color w:val="auto"/>
        </w:rPr>
        <w:fldChar w:fldCharType="end"/>
      </w:r>
    </w:p>
    <w:p>
      <w:pPr>
        <w:pStyle w:val="22"/>
        <w:tabs>
          <w:tab w:val="right" w:leader="dot" w:pos="9061"/>
        </w:tabs>
        <w:ind w:left="630"/>
        <w:rPr>
          <w:rFonts w:asciiTheme="minorHAnsi" w:hAnsiTheme="minorHAnsi" w:eastAsiaTheme="minorEastAsia" w:cstheme="minorBidi"/>
          <w:iCs w:val="0"/>
          <w:color w:val="auto"/>
          <w:sz w:val="21"/>
          <w:szCs w:val="22"/>
        </w:rPr>
      </w:pPr>
      <w:r>
        <w:rPr>
          <w:color w:val="auto"/>
        </w:rPr>
        <w:fldChar w:fldCharType="begin"/>
      </w:r>
      <w:r>
        <w:rPr>
          <w:color w:val="auto"/>
        </w:rPr>
        <w:instrText xml:space="preserve"> HYPERLINK \l "_Toc124613056" </w:instrText>
      </w:r>
      <w:r>
        <w:rPr>
          <w:color w:val="auto"/>
        </w:rPr>
        <w:fldChar w:fldCharType="separate"/>
      </w:r>
      <w:r>
        <w:rPr>
          <w:rStyle w:val="54"/>
          <w:color w:val="auto"/>
        </w:rPr>
        <w:t>（四）信用承诺书</w:t>
      </w:r>
      <w:r>
        <w:rPr>
          <w:color w:val="auto"/>
        </w:rPr>
        <w:tab/>
      </w:r>
      <w:r>
        <w:rPr>
          <w:color w:val="auto"/>
        </w:rPr>
        <w:fldChar w:fldCharType="begin"/>
      </w:r>
      <w:r>
        <w:rPr>
          <w:color w:val="auto"/>
        </w:rPr>
        <w:instrText xml:space="preserve"> PAGEREF _Toc124613056 \h </w:instrText>
      </w:r>
      <w:r>
        <w:rPr>
          <w:color w:val="auto"/>
        </w:rPr>
        <w:fldChar w:fldCharType="separate"/>
      </w:r>
      <w:r>
        <w:rPr>
          <w:color w:val="auto"/>
        </w:rPr>
        <w:t>106</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"_Toc124613057" </w:instrText>
      </w:r>
      <w:r>
        <w:rPr>
          <w:color w:val="auto"/>
        </w:rPr>
        <w:fldChar w:fldCharType="separate"/>
      </w:r>
      <w:r>
        <w:rPr>
          <w:rStyle w:val="54"/>
          <w:color w:val="auto"/>
        </w:rPr>
        <w:t>六、其他资料</w:t>
      </w:r>
      <w:r>
        <w:rPr>
          <w:color w:val="auto"/>
        </w:rPr>
        <w:tab/>
      </w:r>
      <w:r>
        <w:rPr>
          <w:color w:val="auto"/>
        </w:rPr>
        <w:fldChar w:fldCharType="begin"/>
      </w:r>
      <w:r>
        <w:rPr>
          <w:color w:val="auto"/>
        </w:rPr>
        <w:instrText xml:space="preserve"> PAGEREF _Toc124613057 \h </w:instrText>
      </w:r>
      <w:r>
        <w:rPr>
          <w:color w:val="auto"/>
        </w:rPr>
        <w:fldChar w:fldCharType="separate"/>
      </w:r>
      <w:r>
        <w:rPr>
          <w:color w:val="auto"/>
        </w:rPr>
        <w:t>107</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"_Toc124613058" </w:instrText>
      </w:r>
      <w:r>
        <w:rPr>
          <w:color w:val="auto"/>
        </w:rPr>
        <w:fldChar w:fldCharType="separate"/>
      </w:r>
      <w:r>
        <w:rPr>
          <w:rStyle w:val="54"/>
          <w:color w:val="auto"/>
        </w:rPr>
        <w:t>七、定标因素表</w:t>
      </w:r>
      <w:r>
        <w:rPr>
          <w:color w:val="auto"/>
        </w:rPr>
        <w:tab/>
      </w:r>
      <w:r>
        <w:rPr>
          <w:color w:val="auto"/>
        </w:rPr>
        <w:fldChar w:fldCharType="begin"/>
      </w:r>
      <w:r>
        <w:rPr>
          <w:color w:val="auto"/>
        </w:rPr>
        <w:instrText xml:space="preserve"> PAGEREF _Toc124613058 \h </w:instrText>
      </w:r>
      <w:r>
        <w:rPr>
          <w:color w:val="auto"/>
        </w:rPr>
        <w:fldChar w:fldCharType="separate"/>
      </w:r>
      <w:r>
        <w:rPr>
          <w:color w:val="auto"/>
        </w:rPr>
        <w:t>108</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"_Toc124613059" </w:instrText>
      </w:r>
      <w:r>
        <w:rPr>
          <w:color w:val="auto"/>
        </w:rPr>
        <w:fldChar w:fldCharType="separate"/>
      </w:r>
      <w:r>
        <w:rPr>
          <w:rStyle w:val="54"/>
          <w:b/>
          <w:bCs/>
          <w:color w:val="auto"/>
        </w:rPr>
        <w:t>（第二册 技术投标文件）</w:t>
      </w:r>
      <w:r>
        <w:rPr>
          <w:color w:val="auto"/>
        </w:rPr>
        <w:tab/>
      </w:r>
      <w:r>
        <w:rPr>
          <w:color w:val="auto"/>
        </w:rPr>
        <w:fldChar w:fldCharType="begin"/>
      </w:r>
      <w:r>
        <w:rPr>
          <w:color w:val="auto"/>
        </w:rPr>
        <w:instrText xml:space="preserve"> PAGEREF _Toc124613059 \h </w:instrText>
      </w:r>
      <w:r>
        <w:rPr>
          <w:color w:val="auto"/>
        </w:rPr>
        <w:fldChar w:fldCharType="separate"/>
      </w:r>
      <w:r>
        <w:rPr>
          <w:color w:val="auto"/>
        </w:rPr>
        <w:t>109</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"_Toc124613060" </w:instrText>
      </w:r>
      <w:r>
        <w:rPr>
          <w:color w:val="auto"/>
        </w:rPr>
        <w:fldChar w:fldCharType="separate"/>
      </w:r>
      <w:r>
        <w:rPr>
          <w:rStyle w:val="54"/>
          <w:color w:val="auto"/>
        </w:rPr>
        <w:t>电子签章和电子签名扉页</w:t>
      </w:r>
      <w:r>
        <w:rPr>
          <w:color w:val="auto"/>
        </w:rPr>
        <w:tab/>
      </w:r>
      <w:r>
        <w:rPr>
          <w:color w:val="auto"/>
        </w:rPr>
        <w:fldChar w:fldCharType="begin"/>
      </w:r>
      <w:r>
        <w:rPr>
          <w:color w:val="auto"/>
        </w:rPr>
        <w:instrText xml:space="preserve"> PAGEREF _Toc124613060 \h </w:instrText>
      </w:r>
      <w:r>
        <w:rPr>
          <w:color w:val="auto"/>
        </w:rPr>
        <w:fldChar w:fldCharType="separate"/>
      </w:r>
      <w:r>
        <w:rPr>
          <w:color w:val="auto"/>
        </w:rPr>
        <w:t>110</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"_Toc124613061" </w:instrText>
      </w:r>
      <w:r>
        <w:rPr>
          <w:color w:val="auto"/>
        </w:rPr>
        <w:fldChar w:fldCharType="separate"/>
      </w:r>
      <w:r>
        <w:rPr>
          <w:rStyle w:val="54"/>
          <w:color w:val="auto"/>
        </w:rPr>
        <w:t>目  录</w:t>
      </w:r>
      <w:r>
        <w:rPr>
          <w:color w:val="auto"/>
        </w:rPr>
        <w:tab/>
      </w:r>
      <w:r>
        <w:rPr>
          <w:color w:val="auto"/>
        </w:rPr>
        <w:fldChar w:fldCharType="begin"/>
      </w:r>
      <w:r>
        <w:rPr>
          <w:color w:val="auto"/>
        </w:rPr>
        <w:instrText xml:space="preserve"> PAGEREF _Toc124613061 \h </w:instrText>
      </w:r>
      <w:r>
        <w:rPr>
          <w:color w:val="auto"/>
        </w:rPr>
        <w:fldChar w:fldCharType="separate"/>
      </w:r>
      <w:r>
        <w:rPr>
          <w:color w:val="auto"/>
        </w:rPr>
        <w:t>111</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"_Toc124613062" </w:instrText>
      </w:r>
      <w:r>
        <w:rPr>
          <w:color w:val="auto"/>
        </w:rPr>
        <w:fldChar w:fldCharType="separate"/>
      </w:r>
      <w:r>
        <w:rPr>
          <w:rStyle w:val="54"/>
          <w:color w:val="auto"/>
        </w:rPr>
        <w:t>一、施工组织设计</w:t>
      </w:r>
      <w:r>
        <w:rPr>
          <w:color w:val="auto"/>
        </w:rPr>
        <w:tab/>
      </w:r>
      <w:r>
        <w:rPr>
          <w:color w:val="auto"/>
        </w:rPr>
        <w:fldChar w:fldCharType="begin"/>
      </w:r>
      <w:r>
        <w:rPr>
          <w:color w:val="auto"/>
        </w:rPr>
        <w:instrText xml:space="preserve"> PAGEREF _Toc124613062 \h </w:instrText>
      </w:r>
      <w:r>
        <w:rPr>
          <w:color w:val="auto"/>
        </w:rPr>
        <w:fldChar w:fldCharType="separate"/>
      </w:r>
      <w:r>
        <w:rPr>
          <w:color w:val="auto"/>
        </w:rPr>
        <w:t>112</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"_Toc124613063" </w:instrText>
      </w:r>
      <w:r>
        <w:rPr>
          <w:color w:val="auto"/>
        </w:rPr>
        <w:fldChar w:fldCharType="separate"/>
      </w:r>
      <w:r>
        <w:rPr>
          <w:rStyle w:val="54"/>
          <w:color w:val="auto"/>
        </w:rPr>
        <w:t>二、图表及格式要求</w:t>
      </w:r>
      <w:r>
        <w:rPr>
          <w:color w:val="auto"/>
        </w:rPr>
        <w:tab/>
      </w:r>
      <w:r>
        <w:rPr>
          <w:color w:val="auto"/>
        </w:rPr>
        <w:fldChar w:fldCharType="begin"/>
      </w:r>
      <w:r>
        <w:rPr>
          <w:color w:val="auto"/>
        </w:rPr>
        <w:instrText xml:space="preserve"> PAGEREF _Toc124613063 \h </w:instrText>
      </w:r>
      <w:r>
        <w:rPr>
          <w:color w:val="auto"/>
        </w:rPr>
        <w:fldChar w:fldCharType="separate"/>
      </w:r>
      <w:r>
        <w:rPr>
          <w:color w:val="auto"/>
        </w:rPr>
        <w:t>113</w:t>
      </w:r>
      <w:r>
        <w:rPr>
          <w:color w:val="auto"/>
        </w:rPr>
        <w:fldChar w:fldCharType="end"/>
      </w:r>
      <w:r>
        <w:rPr>
          <w:color w:val="auto"/>
        </w:rPr>
        <w:fldChar w:fldCharType="end"/>
      </w:r>
    </w:p>
    <w:p>
      <w:pPr>
        <w:pStyle w:val="38"/>
        <w:tabs>
          <w:tab w:val="right" w:leader="dot" w:pos="9061"/>
        </w:tabs>
        <w:ind w:left="420"/>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"_Toc124613064" </w:instrText>
      </w:r>
      <w:r>
        <w:rPr>
          <w:color w:val="auto"/>
        </w:rPr>
        <w:fldChar w:fldCharType="separate"/>
      </w:r>
      <w:r>
        <w:rPr>
          <w:rStyle w:val="54"/>
          <w:b/>
          <w:bCs/>
          <w:color w:val="auto"/>
        </w:rPr>
        <w:t>（第三册 已标价工程量清单）</w:t>
      </w:r>
      <w:r>
        <w:rPr>
          <w:color w:val="auto"/>
        </w:rPr>
        <w:tab/>
      </w:r>
      <w:r>
        <w:rPr>
          <w:color w:val="auto"/>
        </w:rPr>
        <w:fldChar w:fldCharType="begin"/>
      </w:r>
      <w:r>
        <w:rPr>
          <w:color w:val="auto"/>
        </w:rPr>
        <w:instrText xml:space="preserve"> PAGEREF _Toc124613064 \h </w:instrText>
      </w:r>
      <w:r>
        <w:rPr>
          <w:color w:val="auto"/>
        </w:rPr>
        <w:fldChar w:fldCharType="separate"/>
      </w:r>
      <w:r>
        <w:rPr>
          <w:color w:val="auto"/>
        </w:rPr>
        <w:t>117</w:t>
      </w:r>
      <w:r>
        <w:rPr>
          <w:color w:val="auto"/>
        </w:rPr>
        <w:fldChar w:fldCharType="end"/>
      </w:r>
      <w:r>
        <w:rPr>
          <w:color w:val="auto"/>
        </w:rPr>
        <w:fldChar w:fldCharType="end"/>
      </w:r>
    </w:p>
    <w:p>
      <w:pPr>
        <w:pStyle w:val="38"/>
        <w:tabs>
          <w:tab w:val="right" w:leader="dot" w:pos="9071"/>
        </w:tabs>
        <w:ind w:left="420" w:right="420"/>
        <w:rPr>
          <w:b/>
          <w:bCs/>
          <w:color w:val="auto"/>
          <w:kern w:val="44"/>
          <w:sz w:val="36"/>
          <w:szCs w:val="36"/>
        </w:rPr>
      </w:pPr>
      <w:r>
        <w:rPr>
          <w:smallCaps w:val="0"/>
          <w:color w:val="auto"/>
          <w:sz w:val="21"/>
          <w:szCs w:val="22"/>
        </w:rPr>
        <w:fldChar w:fldCharType="end"/>
      </w:r>
      <w:bookmarkStart w:id="34" w:name="_Toc4078294"/>
      <w:bookmarkStart w:id="35" w:name="_Toc23253"/>
      <w:bookmarkStart w:id="36" w:name="_Toc247085671"/>
      <w:bookmarkStart w:id="37" w:name="_Toc32541"/>
      <w:bookmarkStart w:id="38" w:name="_Toc119872462"/>
      <w:bookmarkStart w:id="39" w:name="_Toc28874"/>
      <w:bookmarkStart w:id="40" w:name="_Toc246996900"/>
      <w:bookmarkStart w:id="41" w:name="_Toc22005"/>
      <w:bookmarkStart w:id="42" w:name="_Toc1565"/>
      <w:bookmarkStart w:id="43" w:name="_Toc247096243"/>
      <w:bookmarkStart w:id="44" w:name="_Toc21331"/>
      <w:bookmarkStart w:id="45" w:name="_Toc246996157"/>
      <w:r>
        <w:rPr>
          <w:color w:val="auto"/>
          <w:sz w:val="36"/>
          <w:szCs w:val="36"/>
        </w:rPr>
        <w:br w:type="page"/>
      </w:r>
    </w:p>
    <w:p>
      <w:pPr>
        <w:pStyle w:val="3"/>
        <w:rPr>
          <w:color w:val="auto"/>
        </w:rPr>
      </w:pPr>
      <w:bookmarkStart w:id="46" w:name="_Toc124612897"/>
      <w:bookmarkStart w:id="47" w:name="_Toc11995"/>
      <w:r>
        <w:rPr>
          <w:rFonts w:hint="eastAsia"/>
          <w:color w:val="auto"/>
        </w:rPr>
        <w:t>第一章</w:t>
      </w:r>
      <w:r>
        <w:rPr>
          <w:color w:val="auto"/>
        </w:rPr>
        <w:t xml:space="preserve"> </w:t>
      </w:r>
      <w:r>
        <w:rPr>
          <w:rFonts w:hint="eastAsia"/>
          <w:color w:val="auto"/>
        </w:rPr>
        <w:t>招标公告</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jc w:val="center"/>
        <w:rPr>
          <w:rFonts w:ascii="宋体" w:hAnsi="宋体" w:cs="宋体"/>
          <w:color w:val="auto"/>
          <w:sz w:val="20"/>
          <w:szCs w:val="20"/>
        </w:rPr>
      </w:pPr>
      <w:r>
        <w:rPr>
          <w:rFonts w:hint="eastAsia" w:ascii="宋体" w:hAnsi="宋体" w:cs="宋体"/>
          <w:color w:val="auto"/>
          <w:sz w:val="28"/>
          <w:szCs w:val="28"/>
          <w:u w:val="single"/>
        </w:rPr>
        <w:t xml:space="preserve">            </w:t>
      </w:r>
      <w:r>
        <w:rPr>
          <w:rFonts w:hint="eastAsia" w:ascii="宋体" w:hAnsi="宋体" w:cs="宋体"/>
          <w:color w:val="auto"/>
          <w:sz w:val="28"/>
          <w:szCs w:val="28"/>
        </w:rPr>
        <w:t>（项目名称）施工招标公告</w:t>
      </w:r>
    </w:p>
    <w:p>
      <w:pPr>
        <w:pStyle w:val="4"/>
        <w:ind w:firstLine="482"/>
        <w:rPr>
          <w:color w:val="auto"/>
        </w:rPr>
      </w:pPr>
      <w:bookmarkStart w:id="48" w:name="_Toc124612898"/>
      <w:bookmarkStart w:id="49" w:name="_Toc246996901"/>
      <w:bookmarkStart w:id="50" w:name="_Toc4078295"/>
      <w:bookmarkStart w:id="51" w:name="_Toc119872463"/>
      <w:bookmarkStart w:id="52" w:name="_Toc14227"/>
      <w:bookmarkStart w:id="53" w:name="_Toc25259"/>
      <w:bookmarkStart w:id="54" w:name="_Toc246996158"/>
      <w:bookmarkStart w:id="55" w:name="_Toc144974480"/>
      <w:bookmarkStart w:id="56" w:name="_Toc179632528"/>
      <w:bookmarkStart w:id="57" w:name="_Toc8238"/>
      <w:bookmarkStart w:id="58" w:name="_Toc4440"/>
      <w:bookmarkStart w:id="59" w:name="_Toc247085672"/>
      <w:bookmarkStart w:id="60" w:name="_Toc25798"/>
      <w:bookmarkStart w:id="61" w:name="_Toc26427"/>
      <w:bookmarkStart w:id="62" w:name="_Toc11255"/>
      <w:bookmarkStart w:id="63" w:name="_Toc152045512"/>
      <w:bookmarkStart w:id="64" w:name="_Toc152042288"/>
      <w:r>
        <w:rPr>
          <w:color w:val="auto"/>
        </w:rPr>
        <w:t xml:space="preserve">1. </w:t>
      </w:r>
      <w:r>
        <w:rPr>
          <w:rFonts w:hint="eastAsia"/>
          <w:color w:val="auto"/>
        </w:rPr>
        <w:t>招标条件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本招标项目</w:t>
      </w:r>
      <w:r>
        <w:rPr>
          <w:rFonts w:hint="eastAsia" w:ascii="宋体" w:hAnsi="宋体" w:cs="宋体"/>
          <w:color w:val="auto"/>
          <w:sz w:val="24"/>
          <w:u w:val="single"/>
        </w:rPr>
        <w:t xml:space="preserve">           </w:t>
      </w:r>
      <w:r>
        <w:rPr>
          <w:rFonts w:hint="eastAsia" w:ascii="宋体" w:hAnsi="宋体" w:cs="宋体"/>
          <w:color w:val="auto"/>
          <w:sz w:val="24"/>
        </w:rPr>
        <w:t>（项目名称）已由</w:t>
      </w:r>
      <w:r>
        <w:rPr>
          <w:rFonts w:hint="eastAsia" w:ascii="宋体" w:hAnsi="宋体" w:cs="宋体"/>
          <w:color w:val="auto"/>
          <w:sz w:val="24"/>
          <w:u w:val="single"/>
        </w:rPr>
        <w:t xml:space="preserve">           </w:t>
      </w:r>
      <w:r>
        <w:rPr>
          <w:rFonts w:hint="eastAsia" w:ascii="宋体" w:hAnsi="宋体" w:cs="宋体"/>
          <w:color w:val="auto"/>
          <w:sz w:val="24"/>
        </w:rPr>
        <w:t>（项目审批、核准或备案机关名称）以</w:t>
      </w:r>
      <w:r>
        <w:rPr>
          <w:rFonts w:hint="eastAsia" w:ascii="宋体" w:hAnsi="宋体" w:cs="宋体"/>
          <w:color w:val="auto"/>
          <w:sz w:val="24"/>
          <w:u w:val="single"/>
        </w:rPr>
        <w:t xml:space="preserve">              </w:t>
      </w:r>
      <w:r>
        <w:rPr>
          <w:rFonts w:hint="eastAsia" w:ascii="宋体" w:hAnsi="宋体" w:cs="宋体"/>
          <w:color w:val="auto"/>
          <w:sz w:val="24"/>
        </w:rPr>
        <w:t>（批文名称及编号）批准建设，项目业主为</w:t>
      </w:r>
      <w:r>
        <w:rPr>
          <w:rFonts w:hint="eastAsia" w:ascii="宋体" w:hAnsi="宋体" w:cs="宋体"/>
          <w:color w:val="auto"/>
          <w:sz w:val="24"/>
          <w:u w:val="single"/>
        </w:rPr>
        <w:t xml:space="preserve">           </w:t>
      </w:r>
      <w:r>
        <w:rPr>
          <w:rFonts w:hint="eastAsia" w:ascii="宋体" w:hAnsi="宋体" w:cs="宋体"/>
          <w:color w:val="auto"/>
          <w:sz w:val="24"/>
        </w:rPr>
        <w:t>，建设资金来自</w:t>
      </w:r>
      <w:r>
        <w:rPr>
          <w:rFonts w:hint="eastAsia" w:ascii="宋体" w:hAnsi="宋体" w:cs="宋体"/>
          <w:color w:val="auto"/>
          <w:sz w:val="24"/>
          <w:u w:val="single"/>
        </w:rPr>
        <w:t xml:space="preserve">              </w:t>
      </w:r>
      <w:r>
        <w:rPr>
          <w:rFonts w:hint="eastAsia" w:ascii="宋体" w:hAnsi="宋体" w:cs="宋体"/>
          <w:color w:val="auto"/>
          <w:sz w:val="24"/>
        </w:rPr>
        <w:t>（资金来源），项目出资比例为</w:t>
      </w:r>
      <w:r>
        <w:rPr>
          <w:rFonts w:hint="eastAsia" w:ascii="宋体" w:hAnsi="宋体" w:cs="宋体"/>
          <w:color w:val="auto"/>
          <w:sz w:val="24"/>
          <w:u w:val="single"/>
        </w:rPr>
        <w:t xml:space="preserve">          </w:t>
      </w:r>
      <w:r>
        <w:rPr>
          <w:rFonts w:hint="eastAsia" w:ascii="宋体" w:hAnsi="宋体" w:cs="宋体"/>
          <w:color w:val="auto"/>
          <w:sz w:val="24"/>
        </w:rPr>
        <w:t>，招标人为</w:t>
      </w:r>
      <w:r>
        <w:rPr>
          <w:rFonts w:hint="eastAsia" w:ascii="宋体" w:hAnsi="宋体" w:cs="宋体"/>
          <w:color w:val="auto"/>
          <w:sz w:val="24"/>
          <w:u w:val="single"/>
        </w:rPr>
        <w:t xml:space="preserve">          </w:t>
      </w:r>
      <w:r>
        <w:rPr>
          <w:rFonts w:hint="eastAsia" w:ascii="宋体" w:hAnsi="宋体" w:cs="宋体"/>
          <w:color w:val="auto"/>
          <w:sz w:val="24"/>
        </w:rPr>
        <w:t>。项目已具备招标条件，现对该项目施工进行公开招标。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项目编号：按照《招标日程安排表》确定的</w:t>
      </w:r>
      <w:r>
        <w:rPr>
          <w:rFonts w:hint="eastAsia" w:ascii="宋体" w:hAnsi="宋体"/>
          <w:color w:val="auto"/>
          <w:sz w:val="24"/>
        </w:rPr>
        <w:t>工程编号</w:t>
      </w:r>
      <w:r>
        <w:rPr>
          <w:rFonts w:hint="eastAsia" w:ascii="宋体" w:hAnsi="宋体" w:cs="宋体"/>
          <w:color w:val="auto"/>
          <w:sz w:val="24"/>
        </w:rPr>
        <w:t>。</w:t>
      </w:r>
    </w:p>
    <w:p>
      <w:pPr>
        <w:pStyle w:val="4"/>
        <w:ind w:firstLine="482"/>
        <w:rPr>
          <w:color w:val="auto"/>
        </w:rPr>
      </w:pPr>
      <w:bookmarkStart w:id="65" w:name="_Toc179632529"/>
      <w:bookmarkStart w:id="66" w:name="_Toc144974481"/>
      <w:bookmarkStart w:id="67" w:name="_Toc246996902"/>
      <w:bookmarkStart w:id="68" w:name="_Toc29093"/>
      <w:bookmarkStart w:id="69" w:name="_Toc21194"/>
      <w:bookmarkStart w:id="70" w:name="_Toc29304"/>
      <w:bookmarkStart w:id="71" w:name="_Toc16821"/>
      <w:bookmarkStart w:id="72" w:name="_Toc124612899"/>
      <w:bookmarkStart w:id="73" w:name="_Toc247085673"/>
      <w:bookmarkStart w:id="74" w:name="_Toc4078296"/>
      <w:bookmarkStart w:id="75" w:name="_Toc246996159"/>
      <w:bookmarkStart w:id="76" w:name="_Toc16391"/>
      <w:bookmarkStart w:id="77" w:name="_Toc152042289"/>
      <w:bookmarkStart w:id="78" w:name="_Toc6019"/>
      <w:bookmarkStart w:id="79" w:name="_Toc119872464"/>
      <w:bookmarkStart w:id="80" w:name="_Toc152045513"/>
      <w:bookmarkStart w:id="81" w:name="_Toc4176"/>
      <w:r>
        <w:rPr>
          <w:color w:val="auto"/>
        </w:rPr>
        <w:t xml:space="preserve">2. </w:t>
      </w:r>
      <w:r>
        <w:rPr>
          <w:rFonts w:hint="eastAsia"/>
          <w:color w:val="auto"/>
        </w:rPr>
        <w:t>项目概况与招标范围</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2.1 项目名称：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2.2 招 标 人：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2.3 建设地点：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2.4 建设规模：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2.5 工程造价：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2.6 招标范围及工作内容：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2.7 工期要求：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2.8 质量要求：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2.9 资金来源：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2.10 标段划分（如有）：</w:t>
      </w:r>
    </w:p>
    <w:p>
      <w:pPr>
        <w:pStyle w:val="4"/>
        <w:ind w:firstLine="482"/>
        <w:rPr>
          <w:color w:val="auto"/>
        </w:rPr>
      </w:pPr>
      <w:bookmarkStart w:id="82" w:name="_Toc246996160"/>
      <w:bookmarkStart w:id="83" w:name="_Toc152042290"/>
      <w:bookmarkStart w:id="84" w:name="_Toc124612900"/>
      <w:bookmarkStart w:id="85" w:name="_Toc4078297"/>
      <w:bookmarkStart w:id="86" w:name="_Toc20170"/>
      <w:bookmarkStart w:id="87" w:name="_Toc18889"/>
      <w:bookmarkStart w:id="88" w:name="_Toc152045514"/>
      <w:bookmarkStart w:id="89" w:name="_Toc144974482"/>
      <w:bookmarkStart w:id="90" w:name="_Toc179632530"/>
      <w:bookmarkStart w:id="91" w:name="_Toc25604"/>
      <w:bookmarkStart w:id="92" w:name="_Toc18483"/>
      <w:bookmarkStart w:id="93" w:name="_Toc19522"/>
      <w:bookmarkStart w:id="94" w:name="_Toc247085674"/>
      <w:bookmarkStart w:id="95" w:name="_Toc3323"/>
      <w:bookmarkStart w:id="96" w:name="_Toc16973"/>
      <w:bookmarkStart w:id="97" w:name="_Toc246996903"/>
      <w:bookmarkStart w:id="98" w:name="_Toc119872465"/>
      <w:r>
        <w:rPr>
          <w:rFonts w:hint="eastAsia"/>
          <w:color w:val="auto"/>
        </w:rPr>
        <w:t>3. 投标人资格要求</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djustRightInd w:val="0"/>
        <w:snapToGrid w:val="0"/>
        <w:spacing w:line="360" w:lineRule="auto"/>
        <w:ind w:firstLine="480" w:firstLineChars="200"/>
        <w:rPr>
          <w:rFonts w:ascii="宋体" w:hAnsi="宋体" w:cs="宋体"/>
          <w:color w:val="auto"/>
          <w:sz w:val="24"/>
        </w:rPr>
      </w:pPr>
      <w:bookmarkStart w:id="99" w:name="_Toc144974483"/>
      <w:bookmarkStart w:id="100" w:name="_Toc246996161"/>
      <w:bookmarkStart w:id="101" w:name="_Toc152042291"/>
      <w:bookmarkStart w:id="102" w:name="_Toc246996904"/>
      <w:bookmarkStart w:id="103" w:name="_Toc179632531"/>
      <w:bookmarkStart w:id="104" w:name="_Toc247085675"/>
      <w:bookmarkStart w:id="105" w:name="_Toc152045515"/>
      <w:r>
        <w:rPr>
          <w:rFonts w:hint="eastAsia" w:ascii="宋体" w:hAnsi="宋体" w:cs="宋体"/>
          <w:color w:val="auto"/>
          <w:sz w:val="24"/>
        </w:rPr>
        <w:t>3.1投标人须具有</w:t>
      </w:r>
      <w:r>
        <w:rPr>
          <w:rFonts w:hint="eastAsia" w:ascii="宋体" w:hAnsi="宋体" w:cs="宋体"/>
          <w:color w:val="auto"/>
          <w:sz w:val="24"/>
          <w:u w:val="single"/>
        </w:rPr>
        <w:t xml:space="preserve">    </w:t>
      </w:r>
      <w:r>
        <w:rPr>
          <w:rFonts w:hint="eastAsia" w:ascii="宋体" w:hAnsi="宋体" w:cs="宋体"/>
          <w:color w:val="auto"/>
          <w:sz w:val="24"/>
        </w:rPr>
        <w:t>工程施</w:t>
      </w:r>
      <w:r>
        <w:rPr>
          <w:rFonts w:hint="eastAsia" w:ascii="宋体" w:hAnsi="宋体"/>
          <w:color w:val="auto"/>
          <w:sz w:val="24"/>
        </w:rPr>
        <w:t>工总承包（或工程专业承包）</w:t>
      </w:r>
      <w:r>
        <w:rPr>
          <w:rFonts w:ascii="宋体" w:hAnsi="宋体"/>
          <w:color w:val="auto"/>
          <w:sz w:val="24"/>
          <w:u w:val="single"/>
        </w:rPr>
        <w:t xml:space="preserve">    </w:t>
      </w:r>
      <w:r>
        <w:rPr>
          <w:rFonts w:hint="eastAsia" w:ascii="宋体" w:hAnsi="宋体"/>
          <w:color w:val="auto"/>
          <w:sz w:val="24"/>
        </w:rPr>
        <w:t>级或以上资</w:t>
      </w:r>
      <w:r>
        <w:rPr>
          <w:rFonts w:hint="eastAsia" w:ascii="宋体" w:hAnsi="宋体" w:cs="宋体"/>
          <w:color w:val="auto"/>
          <w:sz w:val="24"/>
        </w:rPr>
        <w:t>质的施工企业；同时招标项目施工现场配备的最基本的管理班子人员必须要有：项目负责人1人，具有</w:t>
      </w:r>
      <w:r>
        <w:rPr>
          <w:rFonts w:hint="eastAsia" w:ascii="宋体" w:hAnsi="宋体" w:cs="宋体"/>
          <w:color w:val="auto"/>
          <w:sz w:val="24"/>
          <w:u w:val="single"/>
        </w:rPr>
        <w:t xml:space="preserve">    </w:t>
      </w:r>
      <w:r>
        <w:rPr>
          <w:rFonts w:hint="eastAsia" w:ascii="宋体" w:hAnsi="宋体" w:cs="宋体"/>
          <w:color w:val="auto"/>
          <w:sz w:val="24"/>
        </w:rPr>
        <w:t>专业</w:t>
      </w:r>
      <w:r>
        <w:rPr>
          <w:rFonts w:hint="eastAsia" w:ascii="宋体" w:hAnsi="宋体" w:cs="宋体"/>
          <w:color w:val="auto"/>
          <w:sz w:val="24"/>
          <w:u w:val="single"/>
        </w:rPr>
        <w:t xml:space="preserve">    </w:t>
      </w:r>
      <w:r>
        <w:rPr>
          <w:rFonts w:hint="eastAsia" w:ascii="宋体" w:hAnsi="宋体" w:cs="宋体"/>
          <w:color w:val="auto"/>
          <w:sz w:val="24"/>
        </w:rPr>
        <w:t>级或以上注册建造师（省外须一级注册建造师），具有注册建造师证书和建设行政主管部门颁发的安全生产考核合格证（B类）；施工员</w:t>
      </w:r>
      <w:r>
        <w:rPr>
          <w:rFonts w:hint="eastAsia" w:ascii="宋体" w:hAnsi="宋体" w:cs="宋体"/>
          <w:color w:val="auto"/>
          <w:sz w:val="24"/>
          <w:u w:val="single"/>
        </w:rPr>
        <w:t xml:space="preserve">    </w:t>
      </w:r>
      <w:r>
        <w:rPr>
          <w:rFonts w:hint="eastAsia" w:ascii="宋体" w:hAnsi="宋体" w:cs="宋体"/>
          <w:color w:val="auto"/>
          <w:sz w:val="24"/>
        </w:rPr>
        <w:t>人、质量检查员</w:t>
      </w:r>
      <w:r>
        <w:rPr>
          <w:rFonts w:hint="eastAsia" w:ascii="宋体" w:hAnsi="宋体" w:cs="宋体"/>
          <w:color w:val="auto"/>
          <w:sz w:val="24"/>
          <w:u w:val="single"/>
        </w:rPr>
        <w:t xml:space="preserve">    </w:t>
      </w:r>
      <w:r>
        <w:rPr>
          <w:rFonts w:hint="eastAsia" w:ascii="宋体" w:hAnsi="宋体" w:cs="宋体"/>
          <w:color w:val="auto"/>
          <w:sz w:val="24"/>
        </w:rPr>
        <w:t>人，</w:t>
      </w:r>
      <w:r>
        <w:rPr>
          <w:rFonts w:hint="eastAsia" w:ascii="宋体" w:hAnsi="宋体"/>
          <w:color w:val="auto"/>
          <w:sz w:val="24"/>
        </w:rPr>
        <w:t>具有相应的岗位证书</w:t>
      </w:r>
      <w:r>
        <w:rPr>
          <w:rFonts w:hint="eastAsia" w:ascii="宋体" w:hAnsi="宋体" w:cs="宋体"/>
          <w:color w:val="auto"/>
          <w:sz w:val="24"/>
        </w:rPr>
        <w:t>；安全员</w:t>
      </w:r>
      <w:r>
        <w:rPr>
          <w:rFonts w:hint="eastAsia" w:ascii="宋体" w:hAnsi="宋体" w:cs="宋体"/>
          <w:color w:val="auto"/>
          <w:sz w:val="24"/>
          <w:u w:val="single"/>
        </w:rPr>
        <w:t xml:space="preserve">    </w:t>
      </w:r>
      <w:r>
        <w:rPr>
          <w:rFonts w:hint="eastAsia" w:ascii="宋体" w:hAnsi="宋体" w:cs="宋体"/>
          <w:color w:val="auto"/>
          <w:sz w:val="24"/>
        </w:rPr>
        <w:t>人，具有建设行政主管部门颁发的安全生产考核合格证（C类）。</w:t>
      </w:r>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3.2业绩要求：（招标人可以要求投标人具备完成过质量合格的类似工程业绩，并可以对工程业绩设置1个指标要求，或者设置多个指标要求，但仅需满足其中之一即可。上述指标仅限于工程规模、类似的特殊结构形式、类似的特殊施工工艺等方面，有关造价、面积、长度等规模性量化指标要求不得超过招标工程本身所对应的指标的2/3。对于招标项目所需企业资质级别已是最低资质等级的，不得设置业绩要求</w:t>
      </w:r>
      <w:r>
        <w:rPr>
          <w:rFonts w:hint="eastAsia" w:ascii="宋体" w:hAnsi="宋体"/>
          <w:color w:val="auto"/>
          <w:sz w:val="24"/>
        </w:rPr>
        <w:t>。所称“类似工程”，是指按《住房城乡建设部关于印发〈建筑业企业资质标准〉的通知》（建市〔</w:t>
      </w:r>
      <w:r>
        <w:rPr>
          <w:rFonts w:ascii="宋体" w:hAnsi="宋体"/>
          <w:color w:val="auto"/>
          <w:sz w:val="24"/>
        </w:rPr>
        <w:t>2014〕159号）等企业资质管理规定，应当采用的资质类别与招标项目应当采用的资质类别相同的工程。）</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3.3是否接受联合体投标：</w:t>
      </w:r>
      <w:r>
        <w:rPr>
          <w:rFonts w:hint="eastAsia" w:ascii="宋体" w:hAnsi="宋体"/>
          <w:color w:val="auto"/>
          <w:sz w:val="24"/>
          <w:u w:val="single"/>
        </w:rPr>
        <w:t>接受</w:t>
      </w:r>
      <w:r>
        <w:rPr>
          <w:rFonts w:ascii="宋体" w:hAnsi="宋体"/>
          <w:color w:val="auto"/>
          <w:sz w:val="24"/>
          <w:u w:val="single"/>
        </w:rPr>
        <w:t>/不接受</w:t>
      </w:r>
      <w:r>
        <w:rPr>
          <w:rFonts w:hint="eastAsia" w:ascii="宋体" w:hAnsi="宋体"/>
          <w:color w:val="auto"/>
          <w:sz w:val="24"/>
        </w:rPr>
        <w:t>，联合体不超过</w:t>
      </w:r>
      <w:r>
        <w:rPr>
          <w:rFonts w:ascii="宋体" w:hAnsi="宋体"/>
          <w:color w:val="auto"/>
          <w:sz w:val="24"/>
          <w:u w:val="single"/>
        </w:rPr>
        <w:t xml:space="preserve">    </w:t>
      </w:r>
      <w:r>
        <w:rPr>
          <w:rFonts w:hint="eastAsia" w:ascii="宋体" w:hAnsi="宋体"/>
          <w:color w:val="auto"/>
          <w:sz w:val="24"/>
        </w:rPr>
        <w:t>家单位组成。投标时需提交联合体协议书，联合体成员均应为独立法人。联合体牵头人为</w:t>
      </w:r>
      <w:r>
        <w:rPr>
          <w:rFonts w:ascii="宋体" w:hAnsi="宋体"/>
          <w:color w:val="auto"/>
          <w:sz w:val="24"/>
          <w:u w:val="single"/>
        </w:rPr>
        <w:t xml:space="preserve">    </w:t>
      </w:r>
      <w:r>
        <w:rPr>
          <w:rFonts w:hint="eastAsia" w:ascii="宋体" w:hAnsi="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3.4投标人应在惠州市建筑业信用信息平台办理并通过信用信息录入，拟派驻本工程的项目管理班子成员必须是惠州市建筑业信用信息平台录入的对应岗位人员。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3.5其他要求：</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3.6本项目采用资格后审方式（详见招标文件资格审查）。</w:t>
      </w:r>
    </w:p>
    <w:p>
      <w:pPr>
        <w:pStyle w:val="4"/>
        <w:ind w:firstLine="482"/>
        <w:rPr>
          <w:color w:val="auto"/>
        </w:rPr>
      </w:pPr>
      <w:bookmarkStart w:id="106" w:name="_Toc16599"/>
      <w:bookmarkStart w:id="107" w:name="_Toc17009"/>
      <w:bookmarkStart w:id="108" w:name="_Toc20496"/>
      <w:bookmarkStart w:id="109" w:name="_Toc8244"/>
      <w:bookmarkStart w:id="110" w:name="_Toc4078298"/>
      <w:bookmarkStart w:id="111" w:name="_Toc16594"/>
      <w:bookmarkStart w:id="112" w:name="_Toc16525"/>
      <w:bookmarkStart w:id="113" w:name="_Toc119872466"/>
      <w:bookmarkStart w:id="114" w:name="_Toc124612901"/>
      <w:bookmarkStart w:id="115" w:name="_Toc18615"/>
      <w:r>
        <w:rPr>
          <w:rFonts w:hint="eastAsia"/>
          <w:color w:val="auto"/>
        </w:rPr>
        <w:t xml:space="preserve">4. </w:t>
      </w:r>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color w:val="auto"/>
        </w:rPr>
        <w:t>参与项目投标的方式</w:t>
      </w:r>
      <w:bookmarkEnd w:id="112"/>
      <w:bookmarkEnd w:id="113"/>
      <w:bookmarkEnd w:id="114"/>
      <w:bookmarkEnd w:id="11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本工程采用电子招标投标方式开展招标投标，具体的操作流程见惠州市公共资源交易中心（http://zyjy.huizhou.gov.cn/）发布的《惠州市公共资源交易中心建设工程招投标业务系统投标人操作手册》。</w:t>
      </w:r>
    </w:p>
    <w:p>
      <w:pPr>
        <w:pStyle w:val="4"/>
        <w:ind w:firstLine="482"/>
        <w:rPr>
          <w:b w:val="0"/>
          <w:color w:val="auto"/>
        </w:rPr>
      </w:pPr>
      <w:bookmarkStart w:id="116" w:name="_Toc2318"/>
      <w:bookmarkStart w:id="117" w:name="_Toc25639"/>
      <w:bookmarkStart w:id="118" w:name="_Toc124612902"/>
      <w:bookmarkStart w:id="119" w:name="_Toc22621"/>
      <w:bookmarkStart w:id="120" w:name="_Toc15936"/>
      <w:bookmarkStart w:id="121" w:name="_Toc2316"/>
      <w:bookmarkStart w:id="122" w:name="_Toc119872467"/>
      <w:bookmarkStart w:id="123" w:name="_Toc7702"/>
      <w:bookmarkStart w:id="124" w:name="_Toc30897"/>
      <w:bookmarkStart w:id="125" w:name="_Toc4078300"/>
      <w:r>
        <w:rPr>
          <w:rFonts w:hint="eastAsia"/>
          <w:color w:val="auto"/>
        </w:rPr>
        <w:t>5. 获取招标文件、图纸的方式</w:t>
      </w:r>
      <w:bookmarkEnd w:id="116"/>
      <w:bookmarkEnd w:id="117"/>
      <w:bookmarkEnd w:id="118"/>
      <w:bookmarkEnd w:id="119"/>
      <w:bookmarkEnd w:id="120"/>
      <w:bookmarkEnd w:id="121"/>
      <w:bookmarkEnd w:id="122"/>
      <w:bookmarkEnd w:id="123"/>
      <w:bookmarkEnd w:id="124"/>
      <w:bookmarkEnd w:id="12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具备本公告投标人资格要求且有意参与项目投标的潜在投标人，应在《招标日程安排表》确定的获取招标文件开始时间至获取招标文件结束时间期间内，从惠州市公共资源交易中心建设工程招投标交易平台</w:t>
      </w:r>
      <w:r>
        <w:rPr>
          <w:rFonts w:hint="eastAsia" w:ascii="宋体" w:hAnsi="宋体" w:cs="宋体"/>
          <w:b/>
          <w:bCs/>
          <w:color w:val="auto"/>
          <w:sz w:val="24"/>
        </w:rPr>
        <w:t>（下称“交易平台”）</w:t>
      </w:r>
      <w:r>
        <w:rPr>
          <w:rFonts w:hint="eastAsia" w:ascii="宋体" w:hAnsi="宋体" w:cs="宋体"/>
          <w:color w:val="auto"/>
          <w:sz w:val="24"/>
        </w:rPr>
        <w:t>下载招标文件、工程量清单和施工图纸等资料</w:t>
      </w:r>
      <w:r>
        <w:rPr>
          <w:rFonts w:hint="eastAsia" w:ascii="宋体" w:hAnsi="宋体" w:cs="宋体"/>
          <w:bCs/>
          <w:color w:val="auto"/>
          <w:sz w:val="24"/>
          <w:lang w:val="en"/>
        </w:rPr>
        <w:t>。</w:t>
      </w:r>
    </w:p>
    <w:p>
      <w:pPr>
        <w:pStyle w:val="4"/>
        <w:ind w:firstLine="482"/>
        <w:rPr>
          <w:color w:val="auto"/>
        </w:rPr>
      </w:pPr>
      <w:bookmarkStart w:id="126" w:name="_Toc124612903"/>
      <w:bookmarkStart w:id="127" w:name="_Toc8514"/>
      <w:bookmarkStart w:id="128" w:name="_Toc4078301"/>
      <w:bookmarkStart w:id="129" w:name="_Toc17830"/>
      <w:bookmarkStart w:id="130" w:name="_Toc7784"/>
      <w:bookmarkStart w:id="131" w:name="_Toc3105"/>
      <w:bookmarkStart w:id="132" w:name="_Toc18954"/>
      <w:bookmarkStart w:id="133" w:name="_Toc109"/>
      <w:bookmarkStart w:id="134" w:name="_Toc119872468"/>
      <w:bookmarkStart w:id="135" w:name="_Toc18056"/>
      <w:r>
        <w:rPr>
          <w:rFonts w:hint="eastAsia"/>
          <w:color w:val="auto"/>
        </w:rPr>
        <w:t>6. 答疑时间、提交投标文件时间、开标时间及地点</w:t>
      </w:r>
      <w:bookmarkEnd w:id="126"/>
      <w:bookmarkEnd w:id="127"/>
      <w:bookmarkEnd w:id="128"/>
      <w:bookmarkEnd w:id="129"/>
      <w:bookmarkEnd w:id="130"/>
      <w:bookmarkEnd w:id="131"/>
      <w:bookmarkEnd w:id="132"/>
      <w:bookmarkEnd w:id="133"/>
      <w:bookmarkEnd w:id="134"/>
      <w:bookmarkEnd w:id="135"/>
    </w:p>
    <w:p>
      <w:pPr>
        <w:adjustRightInd w:val="0"/>
        <w:snapToGrid w:val="0"/>
        <w:spacing w:line="360" w:lineRule="auto"/>
        <w:ind w:firstLine="480" w:firstLineChars="200"/>
        <w:rPr>
          <w:rFonts w:ascii="宋体" w:hAnsi="宋体" w:cs="宋体"/>
          <w:color w:val="auto"/>
          <w:sz w:val="24"/>
        </w:rPr>
      </w:pPr>
      <w:bookmarkStart w:id="136" w:name="_Toc4078302"/>
      <w:r>
        <w:rPr>
          <w:rFonts w:hint="eastAsia" w:ascii="宋体" w:hAnsi="宋体" w:cs="宋体"/>
          <w:color w:val="auto"/>
          <w:sz w:val="24"/>
        </w:rPr>
        <w:t>6.1答疑时间：投标人存在疑问的，应按照《招标日程安排表》确定的投标人提出问题截止时间前进行网上询疑。招标人及招标代理机构应在《招标日程安排表》中招标人网上澄清截止时间对投标人提出疑问予以网上发布答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6.2网上投标文件提交截止时间：投标人应在《招标日程安排表》确定的投标（网上报价）截止时间前通过交易平台提交投标文件。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6.3现场递交评标原件（如有）的时间和地点：按《招标日程安排表》规定时间地点递交。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6.4开标时间：按《招标日程安排表》确定的开标时间进行开标活动。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6.5开标地点：按《招标日程安排表》确定的开标地点开标。</w:t>
      </w:r>
    </w:p>
    <w:p>
      <w:pPr>
        <w:adjustRightInd w:val="0"/>
        <w:snapToGrid w:val="0"/>
        <w:spacing w:line="360" w:lineRule="auto"/>
        <w:ind w:firstLine="480" w:firstLineChars="200"/>
        <w:rPr>
          <w:rFonts w:ascii="宋体" w:hAnsi="宋体" w:cs="宋体"/>
          <w:color w:val="auto"/>
        </w:rPr>
      </w:pPr>
      <w:r>
        <w:rPr>
          <w:rFonts w:hint="eastAsia" w:ascii="宋体" w:hAnsi="宋体" w:cs="宋体"/>
          <w:color w:val="auto"/>
          <w:sz w:val="24"/>
        </w:rPr>
        <w:t>6.6评标地点：按《招标日程安排表》确定的评标地点评标。</w:t>
      </w:r>
    </w:p>
    <w:p>
      <w:pPr>
        <w:pStyle w:val="4"/>
        <w:ind w:firstLine="482"/>
        <w:rPr>
          <w:color w:val="auto"/>
        </w:rPr>
      </w:pPr>
      <w:bookmarkStart w:id="137" w:name="_Toc2169"/>
      <w:bookmarkStart w:id="138" w:name="_Toc119872469"/>
      <w:bookmarkStart w:id="139" w:name="_Toc12383"/>
      <w:bookmarkStart w:id="140" w:name="_Toc30044"/>
      <w:bookmarkStart w:id="141" w:name="_Toc124612904"/>
      <w:bookmarkStart w:id="142" w:name="_Toc15685"/>
      <w:bookmarkStart w:id="143" w:name="_Toc26440"/>
      <w:bookmarkStart w:id="144" w:name="_Toc11968"/>
      <w:bookmarkStart w:id="145" w:name="_Toc21086"/>
      <w:r>
        <w:rPr>
          <w:rFonts w:hint="eastAsia"/>
          <w:color w:val="auto"/>
        </w:rPr>
        <w:t>7. 投标相关事宜</w:t>
      </w:r>
      <w:bookmarkEnd w:id="136"/>
      <w:bookmarkEnd w:id="137"/>
      <w:bookmarkEnd w:id="138"/>
      <w:bookmarkEnd w:id="139"/>
      <w:bookmarkEnd w:id="140"/>
      <w:bookmarkEnd w:id="141"/>
      <w:bookmarkEnd w:id="142"/>
      <w:bookmarkEnd w:id="143"/>
      <w:bookmarkEnd w:id="144"/>
      <w:bookmarkEnd w:id="145"/>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7</w:t>
      </w:r>
      <w:r>
        <w:rPr>
          <w:rFonts w:ascii="宋体" w:hAnsi="宋体" w:cs="宋体"/>
          <w:color w:val="auto"/>
          <w:sz w:val="24"/>
        </w:rPr>
        <w:t>.1</w:t>
      </w:r>
      <w:r>
        <w:rPr>
          <w:rFonts w:hint="eastAsia" w:ascii="宋体" w:hAnsi="宋体" w:cs="宋体"/>
          <w:color w:val="auto"/>
          <w:sz w:val="24"/>
        </w:rPr>
        <w:t>按照惠州市《关于房建市政类施工监理项目推行信用承诺制优化招投标活动流程的通知》（惠市公易委办函〔2018〕6号）及相关文件规定，对提供安全生产许可证失效或被暂扣、伪造虚假证件、</w:t>
      </w:r>
      <w:r>
        <w:rPr>
          <w:rFonts w:hint="eastAsia" w:ascii="宋体" w:hAnsi="宋体"/>
          <w:color w:val="auto"/>
          <w:sz w:val="24"/>
        </w:rPr>
        <w:t>冒名顶替参加会议、</w:t>
      </w:r>
      <w:r>
        <w:rPr>
          <w:rFonts w:hint="eastAsia" w:ascii="宋体" w:hAnsi="宋体" w:cs="宋体"/>
          <w:color w:val="auto"/>
          <w:sz w:val="24"/>
        </w:rPr>
        <w:t>不同投标人委托同一单位或者个人办理投标事宜等情形，记入不诚信记录，并向行政监督部门推送，不诚信行为一经行政监管部门认定，实施联合惩戒。</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7.2按照《关于建设工程项目全面启用投标文件特征码检测功能的通知》（惠公易函〔2020〕78号）要求，进一步扩大所有建设工程项目PDF格式及XML格式投标文件的特征码检测功能，特征码检测包括IP地址、MAC地址、硬盘序列号及工程量清单编制软件序列号。在开评标过程中，若特征码检测环节出现不同投标人存在IP地址、MAC地址、硬盘序列号或工程量清单编制软件序列号相同情况，将视为不同投标人委托同一单位或者个人办理投标事宜。为保证投标文件特征码检测功能的有效性，所有PDF格式投标文件应当在加盖电子签名（签章）后再行上传。</w:t>
      </w:r>
      <w:r>
        <w:rPr>
          <w:rFonts w:hint="eastAsia" w:ascii="宋体" w:hAnsi="宋体"/>
          <w:color w:val="auto"/>
          <w:sz w:val="24"/>
        </w:rPr>
        <w:t>具体操作方法详见交易中心门户网站→【服务指南】→【操作指引】</w:t>
      </w:r>
    </w:p>
    <w:p>
      <w:pPr>
        <w:pStyle w:val="4"/>
        <w:ind w:firstLine="482"/>
        <w:rPr>
          <w:color w:val="auto"/>
        </w:rPr>
      </w:pPr>
      <w:bookmarkStart w:id="146" w:name="_Toc21922"/>
      <w:bookmarkStart w:id="147" w:name="_Toc119872470"/>
      <w:bookmarkStart w:id="148" w:name="_Toc8565"/>
      <w:bookmarkStart w:id="149" w:name="_Toc14648"/>
      <w:bookmarkStart w:id="150" w:name="_Toc15503"/>
      <w:bookmarkStart w:id="151" w:name="_Toc10581"/>
      <w:bookmarkStart w:id="152" w:name="_Toc124612905"/>
      <w:bookmarkStart w:id="153" w:name="_Toc19718"/>
      <w:bookmarkStart w:id="154" w:name="_Toc20974"/>
      <w:r>
        <w:rPr>
          <w:rFonts w:hint="eastAsia"/>
          <w:color w:val="auto"/>
        </w:rPr>
        <w:t>8. 电子交易规则</w:t>
      </w:r>
      <w:bookmarkEnd w:id="146"/>
      <w:bookmarkEnd w:id="147"/>
      <w:bookmarkEnd w:id="148"/>
      <w:bookmarkEnd w:id="149"/>
      <w:bookmarkEnd w:id="150"/>
      <w:bookmarkEnd w:id="151"/>
      <w:bookmarkEnd w:id="152"/>
      <w:bookmarkEnd w:id="153"/>
      <w:bookmarkEnd w:id="154"/>
    </w:p>
    <w:p>
      <w:pPr>
        <w:adjustRightInd w:val="0"/>
        <w:snapToGrid w:val="0"/>
        <w:spacing w:line="360" w:lineRule="auto"/>
        <w:ind w:firstLine="480" w:firstLineChars="200"/>
        <w:rPr>
          <w:rFonts w:ascii="宋体" w:hAnsi="宋体" w:cs="宋体"/>
          <w:color w:val="auto"/>
          <w:sz w:val="24"/>
        </w:rPr>
      </w:pPr>
      <w:r>
        <w:rPr>
          <w:rFonts w:hint="eastAsia" w:ascii="宋体" w:hAnsi="宋体"/>
          <w:color w:val="auto"/>
          <w:sz w:val="24"/>
        </w:rPr>
        <w:t>按照</w:t>
      </w:r>
      <w:r>
        <w:rPr>
          <w:rFonts w:hint="eastAsia" w:ascii="宋体" w:hAnsi="宋体" w:cs="宋体"/>
          <w:color w:val="auto"/>
          <w:sz w:val="24"/>
        </w:rPr>
        <w:t>关于印发《惠州市政务服务数据管理局 惠州市公共资源交易中心公共资源电子交易规则》的通知（惠市政数〔2022〕3号）</w:t>
      </w:r>
      <w:r>
        <w:rPr>
          <w:rFonts w:hint="eastAsia" w:ascii="宋体" w:hAnsi="宋体"/>
          <w:color w:val="auto"/>
          <w:sz w:val="24"/>
        </w:rPr>
        <w:t>有关规定执行。具体的操作流程见惠州市公共资源交易中心发布的</w:t>
      </w:r>
      <w:r>
        <w:rPr>
          <w:rFonts w:hint="eastAsia" w:ascii="宋体" w:hAnsi="宋体" w:cs="宋体"/>
          <w:color w:val="auto"/>
          <w:sz w:val="24"/>
        </w:rPr>
        <w:t>《惠州市公共资源交易中心建设工程招投标业务系统投标人操作手册》</w:t>
      </w:r>
      <w:r>
        <w:rPr>
          <w:rFonts w:hint="eastAsia" w:ascii="宋体" w:hAnsi="宋体"/>
          <w:color w:val="auto"/>
          <w:sz w:val="24"/>
        </w:rPr>
        <w:t>。</w:t>
      </w:r>
    </w:p>
    <w:p>
      <w:pPr>
        <w:pStyle w:val="4"/>
        <w:ind w:firstLine="482"/>
        <w:rPr>
          <w:color w:val="auto"/>
        </w:rPr>
      </w:pPr>
      <w:bookmarkStart w:id="155" w:name="_Toc26652"/>
      <w:bookmarkStart w:id="156" w:name="_Toc179632533"/>
      <w:bookmarkStart w:id="157" w:name="_Toc8630"/>
      <w:bookmarkStart w:id="158" w:name="_Toc4078303"/>
      <w:bookmarkStart w:id="159" w:name="_Toc124612906"/>
      <w:bookmarkStart w:id="160" w:name="_Toc119872471"/>
      <w:bookmarkStart w:id="161" w:name="_Toc246996906"/>
      <w:bookmarkStart w:id="162" w:name="_Toc157499355"/>
      <w:bookmarkStart w:id="163" w:name="_Toc12169"/>
      <w:bookmarkStart w:id="164" w:name="_Toc26970"/>
      <w:bookmarkStart w:id="165" w:name="_Toc246996163"/>
      <w:bookmarkStart w:id="166" w:name="_Toc247085677"/>
      <w:bookmarkStart w:id="167" w:name="_Toc16652"/>
      <w:bookmarkStart w:id="168" w:name="_Toc27810"/>
      <w:bookmarkStart w:id="169" w:name="_Toc18644"/>
      <w:r>
        <w:rPr>
          <w:rFonts w:hint="eastAsia"/>
          <w:color w:val="auto"/>
        </w:rPr>
        <w:t>9. 发布公告的媒介</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本次招标公告</w:t>
      </w:r>
      <w:r>
        <w:rPr>
          <w:rFonts w:hint="eastAsia" w:ascii="宋体" w:hAnsi="宋体"/>
          <w:color w:val="auto"/>
          <w:sz w:val="24"/>
        </w:rPr>
        <w:t>同时在惠州市公共资源交易中心</w:t>
      </w:r>
      <w:r>
        <w:rPr>
          <w:rFonts w:hint="eastAsia" w:ascii="宋体" w:hAnsi="宋体" w:cs="宋体"/>
          <w:color w:val="auto"/>
          <w:sz w:val="24"/>
        </w:rPr>
        <w:t>网站</w:t>
      </w:r>
      <w:r>
        <w:rPr>
          <w:rFonts w:hint="eastAsia" w:ascii="宋体" w:hAnsi="宋体"/>
          <w:color w:val="auto"/>
          <w:sz w:val="24"/>
        </w:rPr>
        <w:t>、广东省招标投标监管网、</w:t>
      </w:r>
      <w:r>
        <w:rPr>
          <w:color w:val="auto"/>
        </w:rPr>
        <w:fldChar w:fldCharType="begin"/>
      </w:r>
      <w:r>
        <w:rPr>
          <w:color w:val="auto"/>
        </w:rPr>
        <w:instrText xml:space="preserve"> HYPERLINK "http://www.so.com/link?m=a12dhZyRZTG02lk9ealyiHQjcGlgaENbrvhDR%2F4fc5QzpBJYXiQCD%2Bsq39%2FktzHrLp0eGDV4s9Bu5o8pTNaSZLbyiMW%2Fa%2FTxfzlewjoMqs%2B02vOm3w%2F%2Fm1zsxtCAa3KzlznxhkTZiWUKJktA8IEv7TbI%2FG7VJKquaolYIfjFNJAkoqUmCfzAg%2FpQ%2BQlkxEaQPT6UGGNgqmoihR%2Ffet0qZqMj7nWXw2GHh" \t "_blank" </w:instrText>
      </w:r>
      <w:r>
        <w:rPr>
          <w:color w:val="auto"/>
        </w:rPr>
        <w:fldChar w:fldCharType="separate"/>
      </w:r>
      <w:r>
        <w:rPr>
          <w:rFonts w:hint="eastAsia" w:ascii="宋体" w:hAnsi="宋体"/>
          <w:color w:val="auto"/>
          <w:sz w:val="24"/>
        </w:rPr>
        <w:t>中国招标投标公共服务平台</w:t>
      </w:r>
      <w:r>
        <w:rPr>
          <w:rFonts w:hint="eastAsia" w:ascii="宋体" w:hAnsi="宋体"/>
          <w:color w:val="auto"/>
          <w:sz w:val="24"/>
        </w:rPr>
        <w:fldChar w:fldCharType="end"/>
      </w:r>
      <w:r>
        <w:rPr>
          <w:rFonts w:hint="eastAsia" w:ascii="宋体" w:hAnsi="宋体"/>
          <w:color w:val="auto"/>
          <w:sz w:val="24"/>
        </w:rPr>
        <w:t>发布。</w:t>
      </w:r>
    </w:p>
    <w:p>
      <w:pPr>
        <w:pStyle w:val="4"/>
        <w:ind w:firstLine="482"/>
        <w:rPr>
          <w:strike/>
          <w:color w:val="auto"/>
        </w:rPr>
      </w:pPr>
      <w:bookmarkStart w:id="170" w:name="_Toc144974485"/>
      <w:bookmarkStart w:id="171" w:name="_Toc1612"/>
      <w:bookmarkStart w:id="172" w:name="_Toc119872472"/>
      <w:bookmarkStart w:id="173" w:name="_Toc247085678"/>
      <w:bookmarkStart w:id="174" w:name="_Toc22693"/>
      <w:bookmarkStart w:id="175" w:name="_Toc179632534"/>
      <w:bookmarkStart w:id="176" w:name="_Toc9367"/>
      <w:bookmarkStart w:id="177" w:name="_Toc246996164"/>
      <w:bookmarkStart w:id="178" w:name="_Toc23171"/>
      <w:bookmarkStart w:id="179" w:name="_Toc13589"/>
      <w:bookmarkStart w:id="180" w:name="_Toc5447"/>
      <w:bookmarkStart w:id="181" w:name="_Toc246996907"/>
      <w:bookmarkStart w:id="182" w:name="_Toc124612907"/>
      <w:bookmarkStart w:id="183" w:name="_Toc3293"/>
      <w:bookmarkStart w:id="184" w:name="_Toc152045517"/>
      <w:bookmarkStart w:id="185" w:name="_Toc152042293"/>
      <w:bookmarkStart w:id="186" w:name="_Toc4078304"/>
      <w:r>
        <w:rPr>
          <w:rFonts w:hint="eastAsia"/>
          <w:color w:val="auto"/>
        </w:rPr>
        <w:t>10. 联系方式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topLinePunct/>
        <w:adjustRightInd w:val="0"/>
        <w:snapToGrid w:val="0"/>
        <w:spacing w:line="360" w:lineRule="auto"/>
        <w:ind w:firstLine="480" w:firstLineChars="200"/>
        <w:rPr>
          <w:rFonts w:ascii="宋体" w:hAnsi="宋体" w:cs="宋体"/>
          <w:color w:val="auto"/>
          <w:sz w:val="24"/>
        </w:rPr>
      </w:pPr>
      <w:bookmarkStart w:id="187" w:name="_Hlk124671983"/>
      <w:r>
        <w:rPr>
          <w:rFonts w:hint="eastAsia" w:ascii="宋体" w:hAnsi="宋体" w:cs="宋体"/>
          <w:color w:val="auto"/>
          <w:sz w:val="24"/>
        </w:rPr>
        <w:t>招 标 人：</w:t>
      </w:r>
      <w:r>
        <w:rPr>
          <w:rFonts w:hint="eastAsia" w:ascii="宋体" w:hAnsi="宋体" w:cs="宋体"/>
          <w:color w:val="auto"/>
          <w:sz w:val="24"/>
          <w:u w:val="single"/>
        </w:rPr>
        <w:t xml:space="preserve">                    </w:t>
      </w:r>
    </w:p>
    <w:p>
      <w:pPr>
        <w:topLinePunct/>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topLinePunct/>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联 系 人：</w:t>
      </w:r>
      <w:r>
        <w:rPr>
          <w:rFonts w:hint="eastAsia" w:ascii="宋体" w:hAnsi="宋体" w:cs="宋体"/>
          <w:color w:val="auto"/>
          <w:sz w:val="24"/>
          <w:u w:val="single"/>
        </w:rPr>
        <w:t xml:space="preserve">                    </w:t>
      </w:r>
    </w:p>
    <w:p>
      <w:pPr>
        <w:topLinePunct/>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pPr>
        <w:topLinePunct/>
        <w:adjustRightInd w:val="0"/>
        <w:snapToGrid w:val="0"/>
        <w:spacing w:line="360" w:lineRule="auto"/>
        <w:ind w:firstLine="480" w:firstLineChars="200"/>
        <w:rPr>
          <w:rFonts w:ascii="宋体" w:hAnsi="宋体" w:cs="宋体"/>
          <w:color w:val="auto"/>
          <w:sz w:val="24"/>
          <w:u w:val="single"/>
        </w:rPr>
      </w:pP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招标代理机构：</w:t>
      </w:r>
      <w:r>
        <w:rPr>
          <w:rFonts w:hint="eastAsia" w:ascii="宋体" w:hAnsi="宋体" w:cs="宋体"/>
          <w:color w:val="auto"/>
          <w:sz w:val="24"/>
          <w:u w:val="single"/>
        </w:rPr>
        <w:t xml:space="preserve">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 系 人：</w:t>
      </w:r>
      <w:r>
        <w:rPr>
          <w:rFonts w:hint="eastAsia" w:ascii="宋体" w:hAnsi="宋体" w:cs="宋体"/>
          <w:color w:val="auto"/>
          <w:sz w:val="24"/>
          <w:u w:val="single"/>
        </w:rPr>
        <w:t xml:space="preserve">                    </w:t>
      </w:r>
    </w:p>
    <w:p>
      <w:pPr>
        <w:pStyle w:val="2"/>
        <w:adjustRightInd w:val="0"/>
        <w:snapToGrid w:val="0"/>
        <w:spacing w:line="360" w:lineRule="auto"/>
        <w:ind w:firstLine="480"/>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 xml:space="preserve">                    </w:t>
      </w:r>
    </w:p>
    <w:bookmarkEnd w:id="187"/>
    <w:p>
      <w:pPr>
        <w:pStyle w:val="2"/>
        <w:adjustRightInd w:val="0"/>
        <w:snapToGrid w:val="0"/>
        <w:spacing w:line="360" w:lineRule="auto"/>
        <w:ind w:firstLine="480"/>
        <w:rPr>
          <w:rFonts w:ascii="宋体" w:hAnsi="宋体" w:cs="宋体"/>
          <w:color w:val="auto"/>
          <w:sz w:val="24"/>
          <w:u w:val="single"/>
        </w:rPr>
      </w:pPr>
    </w:p>
    <w:p>
      <w:pPr>
        <w:pStyle w:val="2"/>
        <w:adjustRightInd w:val="0"/>
        <w:snapToGrid w:val="0"/>
        <w:spacing w:line="360" w:lineRule="auto"/>
        <w:ind w:firstLine="480"/>
        <w:rPr>
          <w:rFonts w:ascii="宋体" w:hAnsi="宋体" w:cs="宋体"/>
          <w:color w:val="auto"/>
          <w:sz w:val="24"/>
        </w:rPr>
      </w:pPr>
      <w:r>
        <w:rPr>
          <w:rFonts w:hint="eastAsia" w:ascii="宋体" w:hAnsi="宋体" w:cs="宋体"/>
          <w:color w:val="auto"/>
          <w:sz w:val="24"/>
        </w:rPr>
        <w:t xml:space="preserve">交易平台：惠州市公共资源交易中心 </w:t>
      </w:r>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联系地址：</w:t>
      </w:r>
      <w:r>
        <w:rPr>
          <w:rFonts w:hint="eastAsia" w:ascii="宋体" w:hAnsi="宋体"/>
          <w:color w:val="auto"/>
          <w:sz w:val="24"/>
        </w:rPr>
        <w:t>惠州市</w:t>
      </w:r>
      <w:r>
        <w:rPr>
          <w:rFonts w:hint="eastAsia" w:ascii="宋体" w:hAnsi="宋体" w:cs="宋体"/>
          <w:color w:val="auto"/>
          <w:sz w:val="24"/>
        </w:rPr>
        <w:t>惠城区三新北路31号惠州市市民服务中心3号楼。</w:t>
      </w:r>
    </w:p>
    <w:p>
      <w:pPr>
        <w:pStyle w:val="2"/>
        <w:adjustRightInd w:val="0"/>
        <w:snapToGrid w:val="0"/>
        <w:spacing w:line="360" w:lineRule="auto"/>
        <w:ind w:firstLine="480"/>
        <w:rPr>
          <w:rFonts w:ascii="宋体" w:hAnsi="宋体" w:cs="宋体"/>
          <w:color w:val="auto"/>
          <w:sz w:val="24"/>
        </w:rPr>
      </w:pPr>
      <w:r>
        <w:rPr>
          <w:rFonts w:hint="eastAsia" w:ascii="宋体" w:hAnsi="宋体" w:cs="宋体"/>
          <w:color w:val="auto"/>
          <w:sz w:val="24"/>
        </w:rPr>
        <w:t>联系电话：0752-7121018</w:t>
      </w:r>
    </w:p>
    <w:p>
      <w:pPr>
        <w:pStyle w:val="2"/>
        <w:rPr>
          <w:rFonts w:ascii="宋体" w:hAnsi="宋体"/>
          <w:color w:val="auto"/>
        </w:rPr>
      </w:pPr>
    </w:p>
    <w:p>
      <w:pPr>
        <w:spacing w:line="360" w:lineRule="auto"/>
        <w:ind w:left="17" w:hanging="16" w:hangingChars="7"/>
        <w:jc w:val="right"/>
        <w:rPr>
          <w:rFonts w:ascii="宋体" w:hAnsi="宋体" w:cs="宋体"/>
          <w:color w:val="auto"/>
          <w:sz w:val="24"/>
          <w:u w:val="single"/>
        </w:rPr>
      </w:pPr>
    </w:p>
    <w:p>
      <w:pPr>
        <w:spacing w:line="360" w:lineRule="auto"/>
        <w:ind w:left="17" w:hanging="16" w:hangingChars="7"/>
        <w:jc w:val="right"/>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附件：《招标日程安排表》。</w:t>
      </w:r>
    </w:p>
    <w:p>
      <w:pPr>
        <w:pStyle w:val="3"/>
        <w:rPr>
          <w:color w:val="auto"/>
        </w:rPr>
      </w:pPr>
      <w:bookmarkStart w:id="188" w:name="_Toc18687"/>
      <w:bookmarkStart w:id="189" w:name="_Toc4078305"/>
      <w:bookmarkStart w:id="190" w:name="_Toc20627"/>
      <w:bookmarkStart w:id="191" w:name="_Toc144974495"/>
      <w:bookmarkStart w:id="192" w:name="_Toc152045527"/>
      <w:bookmarkStart w:id="193" w:name="_Toc9364"/>
      <w:bookmarkStart w:id="194" w:name="_Toc247085687"/>
      <w:bookmarkStart w:id="195" w:name="_Toc246996173"/>
      <w:bookmarkStart w:id="196" w:name="_Toc26172"/>
      <w:bookmarkStart w:id="197" w:name="_Toc19130"/>
      <w:bookmarkStart w:id="198" w:name="_Toc246996916"/>
      <w:bookmarkStart w:id="199" w:name="_Toc179632544"/>
      <w:bookmarkStart w:id="200" w:name="_Toc152042303"/>
      <w:bookmarkStart w:id="201" w:name="_Toc19598"/>
      <w:r>
        <w:rPr>
          <w:rFonts w:hint="eastAsia"/>
          <w:color w:val="auto"/>
        </w:rPr>
        <w:br w:type="page"/>
      </w:r>
      <w:bookmarkStart w:id="202" w:name="_Toc119872473"/>
      <w:bookmarkStart w:id="203" w:name="_Toc10934"/>
      <w:bookmarkStart w:id="204" w:name="_Toc124612908"/>
      <w:r>
        <w:rPr>
          <w:rFonts w:hint="eastAsia"/>
          <w:color w:val="auto"/>
        </w:rPr>
        <w:t xml:space="preserve">第二章 </w:t>
      </w:r>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color w:val="auto"/>
        </w:rPr>
        <w:t>投标须知</w:t>
      </w:r>
      <w:bookmarkEnd w:id="201"/>
      <w:bookmarkEnd w:id="202"/>
      <w:bookmarkEnd w:id="203"/>
      <w:bookmarkEnd w:id="204"/>
    </w:p>
    <w:p>
      <w:pPr>
        <w:pStyle w:val="4"/>
        <w:ind w:firstLine="482"/>
        <w:jc w:val="center"/>
        <w:rPr>
          <w:color w:val="auto"/>
        </w:rPr>
      </w:pPr>
      <w:bookmarkStart w:id="205" w:name="_Toc20536"/>
      <w:bookmarkStart w:id="206" w:name="_Toc179632545"/>
      <w:bookmarkStart w:id="207" w:name="_Toc246996917"/>
      <w:bookmarkStart w:id="208" w:name="_Toc31689"/>
      <w:bookmarkStart w:id="209" w:name="_Toc152042304"/>
      <w:bookmarkStart w:id="210" w:name="_Toc119872474"/>
      <w:bookmarkStart w:id="211" w:name="_Toc9139"/>
      <w:bookmarkStart w:id="212" w:name="_Toc4078306"/>
      <w:bookmarkStart w:id="213" w:name="_Toc12155"/>
      <w:bookmarkStart w:id="214" w:name="_Toc16298"/>
      <w:bookmarkStart w:id="215" w:name="_Toc247085688"/>
      <w:bookmarkStart w:id="216" w:name="_Toc144974496"/>
      <w:bookmarkStart w:id="217" w:name="_Toc152045528"/>
      <w:bookmarkStart w:id="218" w:name="_Toc11611"/>
      <w:bookmarkStart w:id="219" w:name="_Toc246996174"/>
      <w:bookmarkStart w:id="220" w:name="_Toc124612909"/>
      <w:bookmarkStart w:id="221" w:name="_Toc8099"/>
      <w:r>
        <w:rPr>
          <w:rFonts w:hint="eastAsia"/>
          <w:color w:val="auto"/>
        </w:rPr>
        <w:t>投标须知前附表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bl>
      <w:tblPr>
        <w:tblStyle w:val="46"/>
        <w:tblW w:w="9058" w:type="dxa"/>
        <w:tblInd w:w="104" w:type="dxa"/>
        <w:tblLayout w:type="fixed"/>
        <w:tblCellMar>
          <w:top w:w="0" w:type="dxa"/>
          <w:left w:w="108" w:type="dxa"/>
          <w:bottom w:w="0" w:type="dxa"/>
          <w:right w:w="108" w:type="dxa"/>
        </w:tblCellMar>
      </w:tblPr>
      <w:tblGrid>
        <w:gridCol w:w="972"/>
        <w:gridCol w:w="2938"/>
        <w:gridCol w:w="5148"/>
      </w:tblGrid>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条款号</w:t>
            </w:r>
          </w:p>
        </w:tc>
        <w:tc>
          <w:tcPr>
            <w:tcW w:w="2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条款名称</w:t>
            </w:r>
          </w:p>
        </w:tc>
        <w:tc>
          <w:tcPr>
            <w:tcW w:w="5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编列内容</w:t>
            </w:r>
          </w:p>
        </w:tc>
      </w:tr>
      <w:tr>
        <w:tblPrEx>
          <w:tblCellMar>
            <w:top w:w="0" w:type="dxa"/>
            <w:left w:w="108" w:type="dxa"/>
            <w:bottom w:w="0" w:type="dxa"/>
            <w:right w:w="108" w:type="dxa"/>
          </w:tblCellMar>
        </w:tblPrEx>
        <w:trPr>
          <w:trHeight w:val="1807" w:hRule="atLeast"/>
        </w:trPr>
        <w:tc>
          <w:tcPr>
            <w:tcW w:w="972"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招标人</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名称：</w:t>
            </w:r>
          </w:p>
          <w:p>
            <w:pPr>
              <w:rPr>
                <w:rFonts w:ascii="宋体" w:hAnsi="宋体" w:cs="宋体"/>
                <w:color w:val="auto"/>
                <w:szCs w:val="21"/>
              </w:rPr>
            </w:pPr>
            <w:r>
              <w:rPr>
                <w:rFonts w:hint="eastAsia" w:ascii="宋体" w:hAnsi="宋体" w:cs="宋体"/>
                <w:color w:val="auto"/>
                <w:szCs w:val="21"/>
              </w:rPr>
              <w:t>地址：</w:t>
            </w:r>
          </w:p>
          <w:p>
            <w:pPr>
              <w:rPr>
                <w:rFonts w:ascii="宋体" w:hAnsi="宋体" w:cs="宋体"/>
                <w:color w:val="auto"/>
                <w:szCs w:val="21"/>
              </w:rPr>
            </w:pPr>
            <w:r>
              <w:rPr>
                <w:rFonts w:hint="eastAsia" w:ascii="宋体" w:hAnsi="宋体" w:cs="宋体"/>
                <w:color w:val="auto"/>
                <w:szCs w:val="21"/>
              </w:rPr>
              <w:t>联系人：</w:t>
            </w:r>
          </w:p>
          <w:p>
            <w:pPr>
              <w:rPr>
                <w:rFonts w:ascii="宋体" w:hAnsi="宋体" w:cs="宋体"/>
                <w:color w:val="auto"/>
                <w:szCs w:val="21"/>
              </w:rPr>
            </w:pPr>
            <w:r>
              <w:rPr>
                <w:rFonts w:hint="eastAsia" w:ascii="宋体" w:hAnsi="宋体" w:cs="宋体"/>
                <w:color w:val="auto"/>
                <w:szCs w:val="21"/>
              </w:rPr>
              <w:t>电话：</w:t>
            </w:r>
          </w:p>
        </w:tc>
      </w:tr>
      <w:tr>
        <w:tblPrEx>
          <w:tblCellMar>
            <w:top w:w="0" w:type="dxa"/>
            <w:left w:w="108" w:type="dxa"/>
            <w:bottom w:w="0" w:type="dxa"/>
            <w:right w:w="108" w:type="dxa"/>
          </w:tblCellMar>
        </w:tblPrEx>
        <w:trPr>
          <w:trHeight w:val="1807" w:hRule="atLeast"/>
        </w:trPr>
        <w:tc>
          <w:tcPr>
            <w:tcW w:w="972"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招标代理机构</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名称：</w:t>
            </w:r>
          </w:p>
          <w:p>
            <w:pPr>
              <w:rPr>
                <w:rFonts w:ascii="宋体" w:hAnsi="宋体" w:cs="宋体"/>
                <w:color w:val="auto"/>
                <w:szCs w:val="21"/>
              </w:rPr>
            </w:pPr>
            <w:r>
              <w:rPr>
                <w:rFonts w:hint="eastAsia" w:ascii="宋体" w:hAnsi="宋体" w:cs="宋体"/>
                <w:color w:val="auto"/>
                <w:szCs w:val="21"/>
              </w:rPr>
              <w:t>地址：</w:t>
            </w:r>
          </w:p>
          <w:p>
            <w:pPr>
              <w:rPr>
                <w:rFonts w:ascii="宋体" w:hAnsi="宋体" w:cs="宋体"/>
                <w:color w:val="auto"/>
                <w:szCs w:val="21"/>
              </w:rPr>
            </w:pPr>
            <w:r>
              <w:rPr>
                <w:rFonts w:hint="eastAsia" w:ascii="宋体" w:hAnsi="宋体" w:cs="宋体"/>
                <w:color w:val="auto"/>
                <w:szCs w:val="21"/>
              </w:rPr>
              <w:t>联系人：</w:t>
            </w:r>
          </w:p>
          <w:p>
            <w:pPr>
              <w:rPr>
                <w:rFonts w:ascii="宋体" w:hAnsi="宋体" w:cs="宋体"/>
                <w:color w:val="auto"/>
                <w:szCs w:val="21"/>
              </w:rPr>
            </w:pPr>
            <w:r>
              <w:rPr>
                <w:rFonts w:hint="eastAsia" w:ascii="宋体" w:hAnsi="宋体" w:cs="宋体"/>
                <w:color w:val="auto"/>
                <w:szCs w:val="21"/>
              </w:rPr>
              <w:t>电话：</w:t>
            </w:r>
          </w:p>
        </w:tc>
      </w:tr>
      <w:tr>
        <w:tblPrEx>
          <w:tblCellMar>
            <w:top w:w="0" w:type="dxa"/>
            <w:left w:w="108" w:type="dxa"/>
            <w:bottom w:w="0" w:type="dxa"/>
            <w:right w:w="108" w:type="dxa"/>
          </w:tblCellMar>
        </w:tblPrEx>
        <w:trPr>
          <w:trHeight w:val="9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交易平台</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名称：惠州市公共资源交易中心</w:t>
            </w:r>
          </w:p>
          <w:p>
            <w:pPr>
              <w:rPr>
                <w:rFonts w:ascii="宋体" w:hAnsi="宋体" w:cs="宋体"/>
                <w:color w:val="auto"/>
                <w:szCs w:val="21"/>
              </w:rPr>
            </w:pPr>
            <w:r>
              <w:rPr>
                <w:rFonts w:hint="eastAsia" w:ascii="宋体" w:hAnsi="宋体" w:cs="宋体"/>
                <w:color w:val="auto"/>
                <w:szCs w:val="21"/>
              </w:rPr>
              <w:t>地址：惠州市惠城区三新北路31号惠州市市民服务中心3号楼</w:t>
            </w:r>
          </w:p>
          <w:p>
            <w:pPr>
              <w:rPr>
                <w:rFonts w:ascii="宋体" w:hAnsi="宋体" w:cs="宋体"/>
                <w:color w:val="auto"/>
                <w:szCs w:val="21"/>
              </w:rPr>
            </w:pPr>
            <w:r>
              <w:rPr>
                <w:rFonts w:hint="eastAsia" w:ascii="宋体" w:hAnsi="宋体" w:cs="宋体"/>
                <w:color w:val="auto"/>
                <w:szCs w:val="21"/>
              </w:rPr>
              <w:t>电话：0752-7121018</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1.1.4</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项目名称</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1.1.5</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建设地点</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1.1.6</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建设规模</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1234"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1.1.7</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承包方式</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bCs/>
                <w:color w:val="auto"/>
                <w:szCs w:val="21"/>
              </w:rPr>
              <w:t>中标人为本工程施工总/专业承包单位。包人工、包材料、包机械、包质量、包工期、包安全。不允许转包，不允许违法分包。</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1.2.1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资金来源及</w:t>
            </w:r>
            <w:r>
              <w:rPr>
                <w:rFonts w:hint="eastAsia"/>
                <w:color w:val="auto"/>
              </w:rPr>
              <w:t>出资</w:t>
            </w:r>
            <w:r>
              <w:rPr>
                <w:rFonts w:hint="eastAsia" w:ascii="宋体" w:hAnsi="宋体" w:cs="宋体"/>
                <w:color w:val="auto"/>
                <w:szCs w:val="21"/>
              </w:rPr>
              <w:t>比例</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1.2.2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资金落实情况</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1.3.1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招标范围</w:t>
            </w:r>
            <w:bookmarkStart w:id="222" w:name="_Hlk124613065"/>
            <w:r>
              <w:rPr>
                <w:rFonts w:hint="eastAsia" w:ascii="宋体" w:hAnsi="宋体" w:cs="宋体"/>
                <w:color w:val="auto"/>
                <w:szCs w:val="21"/>
              </w:rPr>
              <w:t>及工作内容</w:t>
            </w:r>
            <w:bookmarkEnd w:id="222"/>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54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1.3.2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计划工期</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计划工期：</w:t>
            </w:r>
            <w:r>
              <w:rPr>
                <w:rFonts w:hint="eastAsia" w:ascii="宋体" w:hAnsi="宋体" w:cs="宋体"/>
                <w:color w:val="auto"/>
                <w:szCs w:val="21"/>
                <w:u w:val="single"/>
              </w:rPr>
              <w:t xml:space="preserve">        </w:t>
            </w:r>
            <w:r>
              <w:rPr>
                <w:rFonts w:hint="eastAsia" w:ascii="宋体" w:hAnsi="宋体" w:cs="宋体"/>
                <w:color w:val="auto"/>
                <w:szCs w:val="21"/>
              </w:rPr>
              <w:t>日历天</w:t>
            </w:r>
          </w:p>
          <w:p>
            <w:pPr>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1.3.3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质量要求</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8225"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1.4.1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本项目施工的资质条件、能力和信誉</w:t>
            </w:r>
          </w:p>
        </w:tc>
        <w:tc>
          <w:tcPr>
            <w:tcW w:w="514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）投标人须具有</w:t>
            </w:r>
            <w:r>
              <w:rPr>
                <w:rFonts w:ascii="宋体" w:hAnsi="宋体"/>
                <w:color w:val="auto"/>
                <w:u w:val="single"/>
              </w:rPr>
              <w:t xml:space="preserve">    </w:t>
            </w:r>
            <w:r>
              <w:rPr>
                <w:rFonts w:hint="eastAsia" w:ascii="宋体" w:hAnsi="宋体"/>
                <w:color w:val="auto"/>
              </w:rPr>
              <w:t>工程施工总承包（或工程专业承包）</w:t>
            </w:r>
            <w:r>
              <w:rPr>
                <w:rFonts w:ascii="宋体" w:hAnsi="宋体"/>
                <w:color w:val="auto"/>
                <w:u w:val="single"/>
              </w:rPr>
              <w:t xml:space="preserve">    </w:t>
            </w:r>
            <w:r>
              <w:rPr>
                <w:rFonts w:hint="eastAsia" w:ascii="宋体" w:hAnsi="宋体"/>
                <w:color w:val="auto"/>
              </w:rPr>
              <w:t>级或以上资质的施工企业；同时招标项目施工现场配备的最基本的管理班子人员必须要有：项目负责人</w:t>
            </w:r>
            <w:r>
              <w:rPr>
                <w:rFonts w:ascii="宋体" w:hAnsi="宋体"/>
                <w:color w:val="auto"/>
              </w:rPr>
              <w:t>1</w:t>
            </w:r>
            <w:r>
              <w:rPr>
                <w:rFonts w:hint="eastAsia" w:ascii="宋体" w:hAnsi="宋体"/>
                <w:color w:val="auto"/>
              </w:rPr>
              <w:t>人，具有</w:t>
            </w:r>
            <w:r>
              <w:rPr>
                <w:rFonts w:ascii="宋体" w:hAnsi="宋体"/>
                <w:color w:val="auto"/>
                <w:u w:val="single"/>
              </w:rPr>
              <w:t xml:space="preserve">    </w:t>
            </w:r>
            <w:r>
              <w:rPr>
                <w:rFonts w:hint="eastAsia" w:ascii="宋体" w:hAnsi="宋体"/>
                <w:color w:val="auto"/>
              </w:rPr>
              <w:t>专业</w:t>
            </w:r>
            <w:r>
              <w:rPr>
                <w:rFonts w:ascii="宋体" w:hAnsi="宋体"/>
                <w:color w:val="auto"/>
                <w:u w:val="single"/>
              </w:rPr>
              <w:t xml:space="preserve">    </w:t>
            </w:r>
            <w:r>
              <w:rPr>
                <w:rFonts w:hint="eastAsia" w:ascii="宋体" w:hAnsi="宋体"/>
                <w:color w:val="auto"/>
              </w:rPr>
              <w:t>级或以上注册建造师（省外须一级注册建造师）</w:t>
            </w:r>
            <w:r>
              <w:rPr>
                <w:rFonts w:hint="eastAsia" w:ascii="宋体" w:hAnsi="宋体" w:cs="宋体"/>
                <w:color w:val="auto"/>
                <w:szCs w:val="21"/>
              </w:rPr>
              <w:t>，具有注册建造师证书和建设行政主管部门颁发的安全生产考核合格证（B类）；施工员</w:t>
            </w:r>
            <w:r>
              <w:rPr>
                <w:rFonts w:hint="eastAsia" w:ascii="宋体" w:hAnsi="宋体" w:cs="宋体"/>
                <w:color w:val="auto"/>
                <w:szCs w:val="21"/>
                <w:u w:val="single"/>
              </w:rPr>
              <w:t xml:space="preserve">    </w:t>
            </w:r>
            <w:r>
              <w:rPr>
                <w:rFonts w:hint="eastAsia" w:ascii="宋体" w:hAnsi="宋体" w:cs="宋体"/>
                <w:color w:val="auto"/>
                <w:szCs w:val="21"/>
              </w:rPr>
              <w:t>人、质量检查员</w:t>
            </w:r>
            <w:r>
              <w:rPr>
                <w:rFonts w:hint="eastAsia" w:ascii="宋体" w:hAnsi="宋体" w:cs="宋体"/>
                <w:color w:val="auto"/>
                <w:szCs w:val="21"/>
                <w:u w:val="single"/>
              </w:rPr>
              <w:t xml:space="preserve">    </w:t>
            </w:r>
            <w:r>
              <w:rPr>
                <w:rFonts w:hint="eastAsia" w:ascii="宋体" w:hAnsi="宋体" w:cs="宋体"/>
                <w:color w:val="auto"/>
                <w:szCs w:val="21"/>
              </w:rPr>
              <w:t>人，具有相应的岗位证书；安全员</w:t>
            </w:r>
            <w:r>
              <w:rPr>
                <w:rFonts w:hint="eastAsia" w:ascii="宋体" w:hAnsi="宋体" w:cs="宋体"/>
                <w:color w:val="auto"/>
                <w:szCs w:val="21"/>
                <w:u w:val="single"/>
              </w:rPr>
              <w:t xml:space="preserve">    </w:t>
            </w:r>
            <w:r>
              <w:rPr>
                <w:rFonts w:hint="eastAsia" w:ascii="宋体" w:hAnsi="宋体" w:cs="宋体"/>
                <w:color w:val="auto"/>
                <w:szCs w:val="21"/>
              </w:rPr>
              <w:t>人，具有建设行政主管部门颁发的安全生产考核合格证（C类）。</w:t>
            </w:r>
          </w:p>
          <w:p>
            <w:pPr>
              <w:ind w:firstLine="420" w:firstLineChars="20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）业绩要求：（招标人可以要求投标人具备完成过质量合格的类似工程业绩，并可以对工程业绩设置</w:t>
            </w:r>
            <w:r>
              <w:rPr>
                <w:rFonts w:ascii="宋体" w:hAnsi="宋体"/>
                <w:color w:val="auto"/>
              </w:rPr>
              <w:t>1</w:t>
            </w:r>
            <w:r>
              <w:rPr>
                <w:rFonts w:hint="eastAsia" w:ascii="宋体" w:hAnsi="宋体"/>
                <w:color w:val="auto"/>
              </w:rPr>
              <w:t>个指标要求，或者设置多个指标要求，但仅需满足其中之一即可。上述指标仅限于工程规模、类似的特殊结构形式、类似的特殊施工工艺等方面，有关造价、面积、长度等规模性量化指标要求不得超过招标工程本身所对应的指标的</w:t>
            </w:r>
            <w:r>
              <w:rPr>
                <w:rFonts w:ascii="宋体" w:hAnsi="宋体"/>
                <w:color w:val="auto"/>
              </w:rPr>
              <w:t>2/3</w:t>
            </w:r>
            <w:r>
              <w:rPr>
                <w:rFonts w:hint="eastAsia" w:ascii="宋体" w:hAnsi="宋体"/>
                <w:color w:val="auto"/>
              </w:rPr>
              <w:t>。对于招标项目所需企业资质级别已是最低资质等级的，不得设置业绩要求。所称“类似工程”，是指按《住房城乡建设部关于印发〈建筑业企业资质标准〉的通知》（建市〔</w:t>
            </w:r>
            <w:r>
              <w:rPr>
                <w:rFonts w:ascii="宋体" w:hAnsi="宋体"/>
                <w:color w:val="auto"/>
              </w:rPr>
              <w:t>2014</w:t>
            </w:r>
            <w:r>
              <w:rPr>
                <w:rFonts w:hint="eastAsia" w:ascii="宋体" w:hAnsi="宋体"/>
                <w:color w:val="auto"/>
              </w:rPr>
              <w:t>〕</w:t>
            </w:r>
            <w:r>
              <w:rPr>
                <w:rFonts w:ascii="宋体" w:hAnsi="宋体"/>
                <w:color w:val="auto"/>
              </w:rPr>
              <w:t>159</w:t>
            </w:r>
            <w:r>
              <w:rPr>
                <w:rFonts w:hint="eastAsia" w:ascii="宋体" w:hAnsi="宋体"/>
                <w:color w:val="auto"/>
              </w:rPr>
              <w:t>号）等企业资质管理规定，应当采用的资质类别与招标项目应当采用的资质类别相同的工程。）</w:t>
            </w:r>
          </w:p>
          <w:p>
            <w:pPr>
              <w:ind w:firstLine="420" w:firstLineChars="20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）是否接受联合体投标：接受</w:t>
            </w:r>
            <w:r>
              <w:rPr>
                <w:rFonts w:ascii="宋体" w:hAnsi="宋体"/>
                <w:color w:val="auto"/>
              </w:rPr>
              <w:t>/</w:t>
            </w:r>
            <w:r>
              <w:rPr>
                <w:rFonts w:hint="eastAsia" w:ascii="宋体" w:hAnsi="宋体"/>
                <w:color w:val="auto"/>
              </w:rPr>
              <w:t>不接受，联合体不超过</w:t>
            </w:r>
            <w:r>
              <w:rPr>
                <w:rFonts w:ascii="宋体" w:hAnsi="宋体"/>
                <w:color w:val="auto"/>
                <w:u w:val="single"/>
              </w:rPr>
              <w:t xml:space="preserve">    </w:t>
            </w:r>
            <w:r>
              <w:rPr>
                <w:rFonts w:hint="eastAsia" w:ascii="宋体" w:hAnsi="宋体"/>
                <w:color w:val="auto"/>
              </w:rPr>
              <w:t>家单位组成。投标时需提交联合体协议书，联合体成员均应为独立法人。联合体牵头人为</w:t>
            </w:r>
            <w:r>
              <w:rPr>
                <w:rFonts w:ascii="宋体" w:hAnsi="宋体"/>
                <w:color w:val="auto"/>
                <w:u w:val="single"/>
              </w:rPr>
              <w:t xml:space="preserve">    </w:t>
            </w:r>
            <w:r>
              <w:rPr>
                <w:rFonts w:hint="eastAsia" w:ascii="宋体" w:hAnsi="宋体"/>
                <w:color w:val="auto"/>
              </w:rPr>
              <w:t>。</w:t>
            </w:r>
          </w:p>
          <w:p>
            <w:pPr>
              <w:ind w:firstLine="420" w:firstLineChars="200"/>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）投标人应在惠州市建筑业信用信息平台办理并通过信用信息录入，拟派驻本工程的项目管理班子成员必须是惠州市建筑业信用信息平台录入的对应岗位人员。</w:t>
            </w:r>
          </w:p>
          <w:p>
            <w:pPr>
              <w:ind w:firstLine="420" w:firstLineChars="20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）其他要求：</w:t>
            </w:r>
          </w:p>
          <w:p>
            <w:pPr>
              <w:pStyle w:val="2"/>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）本项目采用资格后审方式（详见招标文件资格审查）。</w:t>
            </w:r>
          </w:p>
        </w:tc>
      </w:tr>
      <w:tr>
        <w:tblPrEx>
          <w:tblCellMar>
            <w:top w:w="0" w:type="dxa"/>
            <w:left w:w="108" w:type="dxa"/>
            <w:bottom w:w="0" w:type="dxa"/>
            <w:right w:w="108" w:type="dxa"/>
          </w:tblCellMar>
        </w:tblPrEx>
        <w:trPr>
          <w:trHeight w:val="125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1.4.2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是否接受联合体投标</w:t>
            </w:r>
          </w:p>
        </w:tc>
        <w:tc>
          <w:tcPr>
            <w:tcW w:w="5148" w:type="dxa"/>
            <w:tcBorders>
              <w:top w:val="single" w:color="auto" w:sz="4" w:space="0"/>
              <w:left w:val="single" w:color="auto" w:sz="4" w:space="0"/>
              <w:bottom w:val="single" w:color="auto" w:sz="4" w:space="0"/>
              <w:right w:val="single" w:color="auto" w:sz="4" w:space="0"/>
            </w:tcBorders>
            <w:vAlign w:val="center"/>
          </w:tcPr>
          <w:p>
            <w:pPr>
              <w:pStyle w:val="16"/>
              <w:topLinePunct/>
              <w:rPr>
                <w:rFonts w:hAnsi="宋体" w:cs="宋体"/>
                <w:color w:val="auto"/>
                <w:sz w:val="21"/>
                <w:szCs w:val="21"/>
              </w:rPr>
            </w:pPr>
            <w:r>
              <w:rPr>
                <w:rFonts w:hint="eastAsia" w:hAnsi="宋体" w:cs="宋体"/>
                <w:color w:val="auto"/>
                <w:sz w:val="21"/>
                <w:szCs w:val="21"/>
              </w:rPr>
              <w:t>□ 不接受</w:t>
            </w:r>
          </w:p>
          <w:p>
            <w:pPr>
              <w:rPr>
                <w:rFonts w:ascii="宋体" w:hAnsi="宋体" w:cs="宋体"/>
                <w:color w:val="auto"/>
                <w:szCs w:val="21"/>
              </w:rPr>
            </w:pPr>
            <w:r>
              <w:rPr>
                <w:rFonts w:hint="eastAsia" w:ascii="宋体" w:hAnsi="宋体" w:cs="宋体"/>
                <w:color w:val="auto"/>
                <w:szCs w:val="21"/>
              </w:rPr>
              <w:t>□ 接受，应满足下列要求：本项目接受联合体投标。联合体由不超过</w:t>
            </w:r>
            <w:r>
              <w:rPr>
                <w:rFonts w:hint="eastAsia" w:ascii="宋体" w:hAnsi="宋体" w:cs="宋体"/>
                <w:color w:val="auto"/>
                <w:szCs w:val="21"/>
                <w:u w:val="single"/>
              </w:rPr>
              <w:t xml:space="preserve">   </w:t>
            </w:r>
            <w:r>
              <w:rPr>
                <w:rFonts w:hint="eastAsia" w:ascii="宋体" w:hAnsi="宋体" w:cs="宋体"/>
                <w:color w:val="auto"/>
                <w:szCs w:val="21"/>
              </w:rPr>
              <w:t>家单位组成。投标时需提交联合体协议书，联合体成员均应为独立法人。</w:t>
            </w:r>
          </w:p>
        </w:tc>
      </w:tr>
      <w:tr>
        <w:tblPrEx>
          <w:tblCellMar>
            <w:top w:w="0" w:type="dxa"/>
            <w:left w:w="108" w:type="dxa"/>
            <w:bottom w:w="0" w:type="dxa"/>
            <w:right w:w="108" w:type="dxa"/>
          </w:tblCellMar>
        </w:tblPrEx>
        <w:trPr>
          <w:trHeight w:val="365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1.9.1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踏勘现场</w:t>
            </w:r>
          </w:p>
        </w:tc>
        <w:tc>
          <w:tcPr>
            <w:tcW w:w="5148" w:type="dxa"/>
            <w:tcBorders>
              <w:top w:val="single" w:color="auto" w:sz="4" w:space="0"/>
              <w:left w:val="single" w:color="auto" w:sz="4" w:space="0"/>
              <w:bottom w:val="single" w:color="auto" w:sz="4" w:space="0"/>
              <w:right w:val="single" w:color="auto" w:sz="4" w:space="0"/>
            </w:tcBorders>
            <w:vAlign w:val="center"/>
          </w:tcPr>
          <w:p>
            <w:pPr>
              <w:ind w:firstLine="31" w:firstLineChars="15"/>
              <w:rPr>
                <w:rFonts w:ascii="宋体" w:hAnsi="宋体" w:cs="宋体"/>
                <w:bCs/>
                <w:color w:val="auto"/>
                <w:szCs w:val="21"/>
              </w:rPr>
            </w:pPr>
            <w:r>
              <w:rPr>
                <w:rFonts w:hint="eastAsia" w:ascii="宋体" w:hAnsi="宋体" w:cs="宋体"/>
                <w:color w:val="auto"/>
                <w:szCs w:val="21"/>
              </w:rPr>
              <w:t>□ 不组织，</w:t>
            </w:r>
            <w:r>
              <w:rPr>
                <w:rFonts w:hint="eastAsia" w:ascii="宋体" w:hAnsi="宋体" w:cs="宋体"/>
                <w:bCs/>
                <w:color w:val="auto"/>
                <w:szCs w:val="21"/>
              </w:rPr>
              <w:t>根据本工程发布招标公告的工程地点，由各投标人自行组织对本工程现场及周围环境进行踏勘，以便投标人获取有关编制投标文件和签署合同所涉及现场的资料。投标人承担踏勘现场所发生的自身费用。投标人可为踏勘目的进入招标人的项目现场，但投标人不得因此使招标人承担有关的责任和蒙受损失。投标人应承担踏勘现场的责任和风险。投标人不得以未踏勘现场为由向招标人提出任何与此相关的索赔。</w:t>
            </w:r>
          </w:p>
          <w:p>
            <w:pPr>
              <w:rPr>
                <w:rFonts w:ascii="宋体" w:hAnsi="宋体" w:cs="宋体"/>
                <w:color w:val="auto"/>
                <w:szCs w:val="21"/>
              </w:rPr>
            </w:pPr>
            <w:r>
              <w:rPr>
                <w:rFonts w:hint="eastAsia" w:ascii="宋体" w:hAnsi="宋体" w:cs="宋体"/>
                <w:color w:val="auto"/>
                <w:szCs w:val="21"/>
              </w:rPr>
              <w:t>□ 组织，踏勘时间：</w:t>
            </w:r>
          </w:p>
          <w:p>
            <w:pPr>
              <w:rPr>
                <w:rFonts w:ascii="宋体" w:hAnsi="宋体" w:cs="宋体"/>
                <w:color w:val="auto"/>
                <w:szCs w:val="21"/>
              </w:rPr>
            </w:pPr>
            <w:r>
              <w:rPr>
                <w:rFonts w:hint="eastAsia" w:ascii="宋体" w:hAnsi="宋体" w:cs="宋体"/>
                <w:color w:val="auto"/>
                <w:szCs w:val="21"/>
              </w:rPr>
              <w:t xml:space="preserve">         踏勘集中地点：</w:t>
            </w:r>
          </w:p>
        </w:tc>
      </w:tr>
      <w:tr>
        <w:tblPrEx>
          <w:tblCellMar>
            <w:top w:w="0" w:type="dxa"/>
            <w:left w:w="108" w:type="dxa"/>
            <w:bottom w:w="0" w:type="dxa"/>
            <w:right w:w="108" w:type="dxa"/>
          </w:tblCellMar>
        </w:tblPrEx>
        <w:trPr>
          <w:trHeight w:val="1276"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1.10.1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投标预备会</w:t>
            </w:r>
          </w:p>
        </w:tc>
        <w:tc>
          <w:tcPr>
            <w:tcW w:w="5148" w:type="dxa"/>
            <w:tcBorders>
              <w:top w:val="single" w:color="auto" w:sz="4" w:space="0"/>
              <w:left w:val="single" w:color="auto" w:sz="4" w:space="0"/>
              <w:bottom w:val="single" w:color="auto" w:sz="4" w:space="0"/>
              <w:right w:val="single" w:color="auto" w:sz="4" w:space="0"/>
            </w:tcBorders>
            <w:vAlign w:val="center"/>
          </w:tcPr>
          <w:p>
            <w:pPr>
              <w:pStyle w:val="16"/>
              <w:topLinePunct/>
              <w:rPr>
                <w:rFonts w:hAnsi="宋体" w:cs="宋体"/>
                <w:color w:val="auto"/>
                <w:sz w:val="21"/>
                <w:szCs w:val="21"/>
              </w:rPr>
            </w:pPr>
            <w:r>
              <w:rPr>
                <w:rFonts w:hint="eastAsia" w:hAnsi="宋体" w:cs="宋体"/>
                <w:color w:val="auto"/>
                <w:sz w:val="21"/>
                <w:szCs w:val="21"/>
              </w:rPr>
              <w:t>□ 不召开</w:t>
            </w:r>
          </w:p>
          <w:p>
            <w:pPr>
              <w:rPr>
                <w:rFonts w:ascii="宋体" w:hAnsi="宋体" w:cs="宋体"/>
                <w:color w:val="auto"/>
                <w:szCs w:val="21"/>
              </w:rPr>
            </w:pPr>
            <w:r>
              <w:rPr>
                <w:rFonts w:hint="eastAsia" w:ascii="宋体" w:hAnsi="宋体" w:cs="宋体"/>
                <w:color w:val="auto"/>
                <w:szCs w:val="21"/>
              </w:rPr>
              <w:t>□ 召开，召开时间：</w:t>
            </w:r>
          </w:p>
          <w:p>
            <w:pPr>
              <w:pStyle w:val="16"/>
              <w:topLinePunct/>
              <w:rPr>
                <w:rFonts w:hAnsi="宋体" w:cs="宋体"/>
                <w:color w:val="auto"/>
                <w:sz w:val="21"/>
                <w:szCs w:val="21"/>
              </w:rPr>
            </w:pPr>
            <w:r>
              <w:rPr>
                <w:rFonts w:hint="eastAsia" w:hAnsi="宋体" w:cs="宋体"/>
                <w:color w:val="auto"/>
                <w:sz w:val="21"/>
                <w:szCs w:val="21"/>
              </w:rPr>
              <w:t xml:space="preserve">         召开地点：</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1.10.2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投标人提出问题的截止时间</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1.提交澄清要求的时间：以招标公告《招标日程安排表》为准。</w:t>
            </w:r>
          </w:p>
          <w:p>
            <w:pPr>
              <w:rPr>
                <w:rFonts w:ascii="宋体" w:hAnsi="宋体" w:cs="宋体"/>
                <w:color w:val="auto"/>
                <w:szCs w:val="21"/>
              </w:rPr>
            </w:pPr>
            <w:r>
              <w:rPr>
                <w:rFonts w:hint="eastAsia" w:ascii="宋体" w:hAnsi="宋体" w:cs="宋体"/>
                <w:color w:val="auto"/>
                <w:szCs w:val="21"/>
              </w:rPr>
              <w:t>2.澄清活动在惠州市公共资源交易中心建设工程招投标交易平台上进行，投标人需匿名提交澄清要求，在规定的时间内，投标人未有任何的澄清要求，默认投标人不存在澄清要求。未采用匿名方式提交作无效投标处理。</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1.10.3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招标人澄清的时间</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1.发送澄清说明的时间：以招标公告《招标日程安排表》为准。</w:t>
            </w:r>
          </w:p>
          <w:p>
            <w:pPr>
              <w:rPr>
                <w:rFonts w:ascii="宋体" w:hAnsi="宋体" w:cs="宋体"/>
                <w:color w:val="auto"/>
                <w:szCs w:val="21"/>
              </w:rPr>
            </w:pPr>
            <w:r>
              <w:rPr>
                <w:rFonts w:hint="eastAsia" w:ascii="宋体" w:hAnsi="宋体" w:cs="宋体"/>
                <w:color w:val="auto"/>
                <w:szCs w:val="21"/>
              </w:rPr>
              <w:t>2.招标文件的澄清说明在惠州市公共资源交易中心建设工程招投标交易平台上进行。</w:t>
            </w:r>
          </w:p>
        </w:tc>
      </w:tr>
      <w:tr>
        <w:tblPrEx>
          <w:tblCellMar>
            <w:top w:w="0" w:type="dxa"/>
            <w:left w:w="108" w:type="dxa"/>
            <w:bottom w:w="0" w:type="dxa"/>
            <w:right w:w="108" w:type="dxa"/>
          </w:tblCellMar>
        </w:tblPrEx>
        <w:trPr>
          <w:trHeight w:val="827"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偏离</w:t>
            </w:r>
          </w:p>
        </w:tc>
        <w:tc>
          <w:tcPr>
            <w:tcW w:w="5148" w:type="dxa"/>
            <w:tcBorders>
              <w:top w:val="single" w:color="auto" w:sz="4" w:space="0"/>
              <w:left w:val="single" w:color="auto" w:sz="4" w:space="0"/>
              <w:bottom w:val="single" w:color="auto" w:sz="4" w:space="0"/>
              <w:right w:val="single" w:color="auto" w:sz="4" w:space="0"/>
            </w:tcBorders>
            <w:vAlign w:val="center"/>
          </w:tcPr>
          <w:p>
            <w:pPr>
              <w:pStyle w:val="16"/>
              <w:topLinePunct/>
              <w:rPr>
                <w:rFonts w:hAnsi="宋体" w:cs="宋体"/>
                <w:color w:val="auto"/>
                <w:sz w:val="21"/>
                <w:szCs w:val="21"/>
              </w:rPr>
            </w:pPr>
            <w:r>
              <w:rPr>
                <w:rFonts w:hint="eastAsia" w:hAnsi="宋体" w:cs="宋体"/>
                <w:color w:val="auto"/>
                <w:sz w:val="21"/>
                <w:szCs w:val="21"/>
              </w:rPr>
              <w:t>□ 不允许</w:t>
            </w:r>
          </w:p>
          <w:p>
            <w:pPr>
              <w:pStyle w:val="16"/>
              <w:topLinePunct/>
              <w:rPr>
                <w:rFonts w:hAnsi="宋体" w:cs="宋体"/>
                <w:color w:val="auto"/>
                <w:sz w:val="21"/>
                <w:szCs w:val="21"/>
              </w:rPr>
            </w:pPr>
            <w:r>
              <w:rPr>
                <w:rFonts w:hint="eastAsia" w:hAnsi="宋体" w:cs="宋体"/>
                <w:color w:val="auto"/>
                <w:sz w:val="21"/>
                <w:szCs w:val="21"/>
              </w:rPr>
              <w:t>□ 允许</w:t>
            </w:r>
          </w:p>
        </w:tc>
      </w:tr>
      <w:tr>
        <w:tblPrEx>
          <w:tblCellMar>
            <w:top w:w="0" w:type="dxa"/>
            <w:left w:w="108" w:type="dxa"/>
            <w:bottom w:w="0" w:type="dxa"/>
            <w:right w:w="108" w:type="dxa"/>
          </w:tblCellMar>
        </w:tblPrEx>
        <w:trPr>
          <w:trHeight w:val="1471"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1.12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投标人拟分包的工作</w:t>
            </w:r>
          </w:p>
        </w:tc>
        <w:tc>
          <w:tcPr>
            <w:tcW w:w="5148" w:type="dxa"/>
            <w:tcBorders>
              <w:top w:val="single" w:color="auto" w:sz="4" w:space="0"/>
              <w:left w:val="single" w:color="auto" w:sz="4" w:space="0"/>
              <w:bottom w:val="single" w:color="auto" w:sz="4" w:space="0"/>
              <w:right w:val="single" w:color="auto" w:sz="4" w:space="0"/>
            </w:tcBorders>
            <w:vAlign w:val="center"/>
          </w:tcPr>
          <w:p>
            <w:pPr>
              <w:pStyle w:val="16"/>
              <w:topLinePunct/>
              <w:rPr>
                <w:rFonts w:hAnsi="宋体" w:cs="宋体"/>
                <w:color w:val="auto"/>
                <w:sz w:val="21"/>
                <w:szCs w:val="21"/>
              </w:rPr>
            </w:pPr>
            <w:r>
              <w:rPr>
                <w:rFonts w:hint="eastAsia" w:hAnsi="宋体" w:cs="宋体"/>
                <w:color w:val="auto"/>
                <w:sz w:val="21"/>
                <w:szCs w:val="21"/>
              </w:rPr>
              <w:t>□ 不允许</w:t>
            </w:r>
          </w:p>
          <w:p>
            <w:pPr>
              <w:rPr>
                <w:rFonts w:ascii="宋体" w:hAnsi="宋体" w:cs="宋体"/>
                <w:color w:val="auto"/>
                <w:szCs w:val="21"/>
              </w:rPr>
            </w:pPr>
            <w:r>
              <w:rPr>
                <w:rFonts w:hint="eastAsia" w:ascii="宋体" w:hAnsi="宋体" w:cs="宋体"/>
                <w:color w:val="auto"/>
                <w:szCs w:val="21"/>
              </w:rPr>
              <w:t>□ 允许，分包内容要求：对总承包单位不具有施工资质的专业工程或国家、广东省的法律法规允许分包的工程，总承包单位在分包前，必须得到招标人书面同意，才能分包给具有相应施工资质的企业，并报建设行政主管部门备案。</w:t>
            </w:r>
          </w:p>
          <w:p>
            <w:pPr>
              <w:rPr>
                <w:rFonts w:ascii="宋体" w:hAnsi="宋体" w:cs="宋体"/>
                <w:color w:val="auto"/>
                <w:szCs w:val="21"/>
              </w:rPr>
            </w:pPr>
            <w:r>
              <w:rPr>
                <w:rFonts w:hint="eastAsia" w:ascii="宋体" w:hAnsi="宋体" w:cs="宋体"/>
                <w:color w:val="auto"/>
                <w:szCs w:val="21"/>
              </w:rPr>
              <w:t>分包金额要求：</w:t>
            </w:r>
          </w:p>
          <w:p>
            <w:pPr>
              <w:rPr>
                <w:rFonts w:ascii="宋体" w:hAnsi="宋体" w:cs="宋体"/>
                <w:color w:val="auto"/>
                <w:szCs w:val="21"/>
              </w:rPr>
            </w:pPr>
            <w:r>
              <w:rPr>
                <w:rFonts w:hint="eastAsia" w:ascii="宋体" w:hAnsi="宋体" w:cs="宋体"/>
                <w:color w:val="auto"/>
                <w:szCs w:val="21"/>
              </w:rPr>
              <w:t>对分包人的资质要求：按国家、广东省的法律法规的规定执行。</w:t>
            </w:r>
          </w:p>
        </w:tc>
      </w:tr>
      <w:tr>
        <w:tblPrEx>
          <w:tblCellMar>
            <w:top w:w="0" w:type="dxa"/>
            <w:left w:w="108" w:type="dxa"/>
            <w:bottom w:w="0" w:type="dxa"/>
            <w:right w:w="108" w:type="dxa"/>
          </w:tblCellMar>
        </w:tblPrEx>
        <w:trPr>
          <w:trHeight w:val="9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构成招标文件的其他材料</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投标人要求澄清招标文件的截止时间</w:t>
            </w:r>
          </w:p>
        </w:tc>
        <w:tc>
          <w:tcPr>
            <w:tcW w:w="5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以招标公告《招标日程安排表》为准。</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投标截止时间</w:t>
            </w:r>
          </w:p>
        </w:tc>
        <w:tc>
          <w:tcPr>
            <w:tcW w:w="5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以招标公告《招标日程安排表》为准。</w:t>
            </w:r>
          </w:p>
        </w:tc>
      </w:tr>
      <w:tr>
        <w:tblPrEx>
          <w:tblCellMar>
            <w:top w:w="0" w:type="dxa"/>
            <w:left w:w="108" w:type="dxa"/>
            <w:bottom w:w="0" w:type="dxa"/>
            <w:right w:w="108" w:type="dxa"/>
          </w:tblCellMar>
        </w:tblPrEx>
        <w:trPr>
          <w:trHeight w:val="763"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投标人确认收到招标文件澄清的时间</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olor w:val="auto"/>
              </w:rPr>
              <w:t>澄清</w:t>
            </w:r>
            <w:r>
              <w:rPr>
                <w:rFonts w:hint="eastAsia" w:ascii="宋体" w:hAnsi="宋体" w:cs="宋体"/>
                <w:color w:val="auto"/>
                <w:szCs w:val="21"/>
              </w:rPr>
              <w:t>说明</w:t>
            </w:r>
            <w:r>
              <w:rPr>
                <w:rFonts w:hint="eastAsia" w:ascii="宋体" w:hAnsi="宋体"/>
                <w:color w:val="auto"/>
              </w:rPr>
              <w:t>在惠州市公共资源交易中心建设工程招投标交易平台上</w:t>
            </w:r>
            <w:r>
              <w:rPr>
                <w:rFonts w:hint="eastAsia" w:ascii="宋体" w:hAnsi="宋体" w:cs="宋体"/>
                <w:color w:val="auto"/>
                <w:szCs w:val="21"/>
              </w:rPr>
              <w:t>发布后，即</w:t>
            </w:r>
            <w:r>
              <w:rPr>
                <w:rFonts w:hint="eastAsia" w:ascii="宋体" w:hAnsi="宋体"/>
                <w:color w:val="auto"/>
              </w:rPr>
              <w:t>默认投标人已确认。</w:t>
            </w:r>
          </w:p>
        </w:tc>
      </w:tr>
      <w:tr>
        <w:tblPrEx>
          <w:tblCellMar>
            <w:top w:w="0" w:type="dxa"/>
            <w:left w:w="108" w:type="dxa"/>
            <w:bottom w:w="0" w:type="dxa"/>
            <w:right w:w="108" w:type="dxa"/>
          </w:tblCellMar>
        </w:tblPrEx>
        <w:trPr>
          <w:trHeight w:val="853"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2.3.2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投标人确认收到招标文件修改的时间</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bookmarkStart w:id="223" w:name="_Hlk124169589"/>
            <w:r>
              <w:rPr>
                <w:rFonts w:hint="eastAsia" w:asciiTheme="minorEastAsia" w:hAnsiTheme="minorEastAsia"/>
                <w:color w:val="auto"/>
              </w:rPr>
              <w:t>招标文件</w:t>
            </w:r>
            <w:r>
              <w:rPr>
                <w:rFonts w:hint="eastAsia" w:asciiTheme="minorEastAsia" w:hAnsiTheme="minorEastAsia" w:cstheme="minorEastAsia"/>
                <w:color w:val="auto"/>
                <w:szCs w:val="21"/>
              </w:rPr>
              <w:t>的</w:t>
            </w:r>
            <w:r>
              <w:rPr>
                <w:rFonts w:hint="eastAsia" w:asciiTheme="minorEastAsia" w:hAnsiTheme="minorEastAsia"/>
                <w:color w:val="auto"/>
              </w:rPr>
              <w:t>修改</w:t>
            </w:r>
            <w:r>
              <w:rPr>
                <w:rFonts w:hint="eastAsia" w:asciiTheme="minorEastAsia" w:hAnsiTheme="minorEastAsia" w:cstheme="minorEastAsia"/>
                <w:color w:val="auto"/>
                <w:szCs w:val="21"/>
              </w:rPr>
              <w:t>说明</w:t>
            </w:r>
            <w:r>
              <w:rPr>
                <w:rFonts w:hint="eastAsia" w:asciiTheme="minorEastAsia" w:hAnsiTheme="minorEastAsia"/>
                <w:color w:val="auto"/>
              </w:rPr>
              <w:t>在惠州市公共资源交易中心建设工程招投标交易平台上</w:t>
            </w:r>
            <w:r>
              <w:rPr>
                <w:rFonts w:hint="eastAsia" w:asciiTheme="minorEastAsia" w:hAnsiTheme="minorEastAsia" w:cstheme="minorEastAsia"/>
                <w:color w:val="auto"/>
                <w:szCs w:val="21"/>
              </w:rPr>
              <w:t>发布后，即</w:t>
            </w:r>
            <w:r>
              <w:rPr>
                <w:rFonts w:hint="eastAsia" w:asciiTheme="minorEastAsia" w:hAnsiTheme="minorEastAsia"/>
                <w:color w:val="auto"/>
              </w:rPr>
              <w:t>默认投标人已确认。</w:t>
            </w:r>
            <w:bookmarkEnd w:id="223"/>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3.1.1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构成投标文件的其他材料</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CellMar>
            <w:top w:w="0" w:type="dxa"/>
            <w:left w:w="108" w:type="dxa"/>
            <w:bottom w:w="0" w:type="dxa"/>
            <w:right w:w="108" w:type="dxa"/>
          </w:tblCellMar>
        </w:tblPrEx>
        <w:trPr>
          <w:trHeight w:val="1653"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3.2.3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最高投标限价或其计算方法</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本工程的预算审定价作为本工程的最高投标限价，其具体数额如下：</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tc>
      </w:tr>
      <w:tr>
        <w:tblPrEx>
          <w:tblCellMar>
            <w:top w:w="0" w:type="dxa"/>
            <w:left w:w="108" w:type="dxa"/>
            <w:bottom w:w="0" w:type="dxa"/>
            <w:right w:w="108" w:type="dxa"/>
          </w:tblCellMar>
        </w:tblPrEx>
        <w:trPr>
          <w:trHeight w:val="56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3.3.1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投标有效期</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从提交投标文件的截止之日起算60日历天</w:t>
            </w:r>
          </w:p>
        </w:tc>
      </w:tr>
      <w:tr>
        <w:tblPrEx>
          <w:tblCellMar>
            <w:top w:w="0" w:type="dxa"/>
            <w:left w:w="108" w:type="dxa"/>
            <w:bottom w:w="0" w:type="dxa"/>
            <w:right w:w="108" w:type="dxa"/>
          </w:tblCellMar>
        </w:tblPrEx>
        <w:trPr>
          <w:trHeight w:val="1077"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3.4.1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投标保证金</w:t>
            </w:r>
          </w:p>
        </w:tc>
        <w:tc>
          <w:tcPr>
            <w:tcW w:w="5148" w:type="dxa"/>
            <w:tcBorders>
              <w:top w:val="single" w:color="auto" w:sz="4" w:space="0"/>
              <w:left w:val="single" w:color="auto" w:sz="4" w:space="0"/>
              <w:bottom w:val="single" w:color="auto" w:sz="4" w:space="0"/>
              <w:right w:val="single" w:color="auto" w:sz="4" w:space="0"/>
            </w:tcBorders>
            <w:vAlign w:val="center"/>
          </w:tcPr>
          <w:p>
            <w:pPr>
              <w:pStyle w:val="16"/>
              <w:topLinePunct/>
              <w:rPr>
                <w:rFonts w:hAnsi="宋体" w:cs="宋体"/>
                <w:color w:val="auto"/>
                <w:sz w:val="21"/>
                <w:szCs w:val="21"/>
              </w:rPr>
            </w:pPr>
            <w:r>
              <w:rPr>
                <w:rFonts w:hint="eastAsia" w:hAnsi="宋体" w:cs="宋体"/>
                <w:color w:val="auto"/>
                <w:sz w:val="21"/>
                <w:szCs w:val="21"/>
              </w:rPr>
              <w:t>□ 不要求递交投标保证金</w:t>
            </w:r>
          </w:p>
          <w:p>
            <w:pPr>
              <w:rPr>
                <w:rFonts w:ascii="宋体" w:hAnsi="宋体" w:cs="宋体"/>
                <w:color w:val="auto"/>
                <w:szCs w:val="21"/>
              </w:rPr>
            </w:pPr>
            <w:r>
              <w:rPr>
                <w:rFonts w:hint="eastAsia" w:ascii="宋体" w:hAnsi="宋体" w:cs="宋体"/>
                <w:color w:val="auto"/>
                <w:szCs w:val="21"/>
              </w:rPr>
              <w:t>□ 要求递交投标保证金</w:t>
            </w:r>
          </w:p>
          <w:p>
            <w:pPr>
              <w:ind w:firstLine="420" w:firstLineChars="200"/>
              <w:rPr>
                <w:rFonts w:ascii="宋体" w:hAnsi="宋体" w:cs="宋体"/>
                <w:color w:val="auto"/>
                <w:szCs w:val="21"/>
              </w:rPr>
            </w:pPr>
            <w:r>
              <w:rPr>
                <w:rFonts w:hint="eastAsia" w:ascii="宋体" w:hAnsi="宋体" w:cs="宋体"/>
                <w:color w:val="auto"/>
                <w:szCs w:val="21"/>
              </w:rPr>
              <w:t>本项目投标保证金为人民币：</w:t>
            </w:r>
            <w:r>
              <w:rPr>
                <w:rFonts w:hint="eastAsia" w:ascii="宋体" w:hAnsi="宋体" w:cs="宋体"/>
                <w:color w:val="auto"/>
                <w:szCs w:val="21"/>
                <w:u w:val="single"/>
              </w:rPr>
              <w:t xml:space="preserve">    </w:t>
            </w:r>
            <w:r>
              <w:rPr>
                <w:rFonts w:hint="eastAsia" w:ascii="宋体" w:hAnsi="宋体" w:cs="宋体"/>
                <w:color w:val="auto"/>
                <w:szCs w:val="21"/>
              </w:rPr>
              <w:t>万元（按本工程总造价的2%计算，最高不超过50万元）</w:t>
            </w:r>
            <w:r>
              <w:rPr>
                <w:rFonts w:hint="eastAsia" w:ascii="宋体" w:hAnsi="宋体" w:cs="宋体"/>
                <w:color w:val="auto"/>
              </w:rPr>
              <w:t>，投标保证金缴交证明作为投标文件的组成部分。</w:t>
            </w:r>
            <w:r>
              <w:rPr>
                <w:rFonts w:hint="eastAsia" w:ascii="宋体" w:hAnsi="宋体" w:cs="宋体"/>
                <w:b/>
                <w:bCs/>
                <w:color w:val="auto"/>
                <w:szCs w:val="21"/>
              </w:rPr>
              <w:t>以联合体形式投标的，投标保证金由联合体牵头人缴纳。（为保证投标保证金按时到账，建议投标人在投标保证金缴纳截止时间24小时前完成缴纳工作。）</w:t>
            </w:r>
          </w:p>
          <w:p>
            <w:pPr>
              <w:ind w:firstLine="422" w:firstLineChars="200"/>
              <w:rPr>
                <w:rFonts w:ascii="宋体" w:hAnsi="宋体" w:cs="宋体"/>
                <w:b/>
                <w:bCs/>
                <w:color w:val="auto"/>
                <w:szCs w:val="21"/>
              </w:rPr>
            </w:pPr>
            <w:r>
              <w:rPr>
                <w:rFonts w:hint="eastAsia" w:ascii="宋体" w:hAnsi="宋体" w:cs="宋体"/>
                <w:b/>
                <w:bCs/>
                <w:color w:val="auto"/>
                <w:szCs w:val="21"/>
              </w:rPr>
              <w:t>（一）采用转账、汇款形式的（由招标人负责收取，招标人可以委托公共资源交易中心代为收取）：</w:t>
            </w:r>
          </w:p>
          <w:p>
            <w:pPr>
              <w:ind w:firstLine="420" w:firstLineChars="200"/>
              <w:rPr>
                <w:rFonts w:ascii="宋体" w:hAnsi="宋体" w:cs="宋体"/>
                <w:color w:val="auto"/>
                <w:szCs w:val="21"/>
              </w:rPr>
            </w:pPr>
            <w:r>
              <w:rPr>
                <w:rFonts w:hint="eastAsia" w:ascii="宋体" w:hAnsi="宋体" w:cs="宋体"/>
                <w:color w:val="auto"/>
                <w:szCs w:val="21"/>
              </w:rPr>
              <w:t>（1）投标人在惠州市公共资源交易中心建设工程招投标交易平台打印缴纳投标保证金通知书，并应按照《招标日程安排表》确定的保证金到账截止时间前将投标保证金从投标人注册地的基本账户转账到投标保证金缴纳通知书中指定的子账号。非投标人或非投标人基本账户缴纳的投标保证金无效。</w:t>
            </w:r>
          </w:p>
          <w:p>
            <w:pPr>
              <w:ind w:firstLine="420" w:firstLineChars="200"/>
              <w:rPr>
                <w:rFonts w:ascii="宋体" w:hAnsi="宋体" w:cs="宋体"/>
                <w:color w:val="auto"/>
                <w:szCs w:val="21"/>
              </w:rPr>
            </w:pPr>
            <w:r>
              <w:rPr>
                <w:rFonts w:hint="eastAsia" w:ascii="宋体" w:hAnsi="宋体" w:cs="宋体"/>
                <w:color w:val="auto"/>
                <w:szCs w:val="21"/>
              </w:rPr>
              <w:t>（2）严禁投标人采用EFT系统（广东金融结算系统）方式缴纳投标保证金，如果采用此方式导致惠州市公共资源交易中心建设工程招投标交易平台无法识别投标保证金缴纳信息，视为未按要求缴纳投标保证金，由此造成后果由投标人自行承担责任。</w:t>
            </w:r>
          </w:p>
          <w:p>
            <w:pPr>
              <w:ind w:firstLine="420" w:firstLineChars="200"/>
              <w:rPr>
                <w:rFonts w:ascii="宋体" w:hAnsi="宋体" w:cs="宋体"/>
                <w:color w:val="auto"/>
                <w:szCs w:val="21"/>
              </w:rPr>
            </w:pPr>
            <w:r>
              <w:rPr>
                <w:rFonts w:hint="eastAsia" w:ascii="宋体" w:hAnsi="宋体" w:cs="宋体"/>
                <w:color w:val="auto"/>
                <w:szCs w:val="21"/>
              </w:rPr>
              <w:t>（3）中标人以外的投标人的投标保证金将在中标通知书发出之日起五日内（但因投标人自身原因导致无法及时退还的除外）通过网上银行退还至原汇款账号（含银行同期存款利息并扣除转账手续费），中标人的投标保证金在签订合同后五日内（但因投标人自身原因导致无法及时退还的除外）通过网上银行退还至原汇款账号（含银行同期存款利息并扣除转账手续费）。</w:t>
            </w:r>
          </w:p>
          <w:p>
            <w:pPr>
              <w:ind w:firstLine="422" w:firstLineChars="200"/>
              <w:rPr>
                <w:rFonts w:ascii="宋体" w:hAnsi="宋体" w:cs="宋体"/>
                <w:b/>
                <w:bCs/>
                <w:color w:val="auto"/>
                <w:szCs w:val="21"/>
              </w:rPr>
            </w:pPr>
            <w:r>
              <w:rPr>
                <w:rFonts w:hint="eastAsia" w:ascii="宋体" w:hAnsi="宋体" w:cs="宋体"/>
                <w:b/>
                <w:bCs/>
                <w:color w:val="auto"/>
                <w:szCs w:val="21"/>
              </w:rPr>
              <w:t>（二）采用电子银行保函、电子保证保险形式的：</w:t>
            </w:r>
          </w:p>
          <w:p>
            <w:pPr>
              <w:snapToGrid w:val="0"/>
              <w:ind w:firstLine="420" w:firstLineChars="200"/>
              <w:rPr>
                <w:rFonts w:ascii="宋体" w:hAnsi="宋体" w:cs="宋体"/>
                <w:color w:val="auto"/>
                <w:szCs w:val="21"/>
              </w:rPr>
            </w:pPr>
            <w:r>
              <w:rPr>
                <w:rFonts w:hint="eastAsia" w:ascii="宋体" w:hAnsi="宋体" w:cs="宋体"/>
                <w:color w:val="auto"/>
                <w:szCs w:val="21"/>
              </w:rPr>
              <w:t>（1）投标人通过惠州市公共资源交易中心建设工程招投标交易平台选择相应的银行或保险公司办理电子保函或电子保证保险，办理费用应当从投标人注册地的基本账户缴纳。非投标人或非投标人基本账户缴纳费用的银行保函或保证保险无效。</w:t>
            </w:r>
          </w:p>
          <w:p>
            <w:pPr>
              <w:snapToGrid w:val="0"/>
              <w:ind w:firstLine="420" w:firstLineChars="200"/>
              <w:rPr>
                <w:rFonts w:ascii="宋体" w:hAnsi="宋体" w:cs="宋体"/>
                <w:color w:val="auto"/>
                <w:szCs w:val="21"/>
              </w:rPr>
            </w:pPr>
            <w:r>
              <w:rPr>
                <w:rFonts w:hint="eastAsia" w:ascii="宋体" w:hAnsi="宋体" w:cs="宋体"/>
                <w:color w:val="auto"/>
                <w:szCs w:val="21"/>
              </w:rPr>
              <w:t>（2）电子保函（或电子保险）在保障期限到期后自动失效。</w:t>
            </w:r>
          </w:p>
          <w:p>
            <w:pPr>
              <w:snapToGrid w:val="0"/>
              <w:ind w:firstLine="420" w:firstLineChars="200"/>
              <w:rPr>
                <w:rFonts w:ascii="宋体" w:hAnsi="宋体" w:cs="宋体"/>
                <w:color w:val="auto"/>
                <w:szCs w:val="21"/>
              </w:rPr>
            </w:pPr>
            <w:r>
              <w:rPr>
                <w:rFonts w:hint="eastAsia" w:ascii="宋体" w:hAnsi="宋体" w:cs="宋体"/>
                <w:color w:val="auto"/>
                <w:szCs w:val="21"/>
              </w:rPr>
              <w:t>（3）电子保函、电子保险有效期必须等于或大于本项目投标有效期，否则为无效。若投标有效期延长的，保函、保险有效期相应延长，且延长后的有效期应满足前述要求。</w:t>
            </w:r>
          </w:p>
          <w:p>
            <w:pPr>
              <w:ind w:firstLine="420" w:firstLineChars="200"/>
              <w:rPr>
                <w:rFonts w:ascii="宋体" w:hAnsi="宋体" w:cs="宋体"/>
                <w:color w:val="auto"/>
                <w:szCs w:val="21"/>
              </w:rPr>
            </w:pPr>
            <w:r>
              <w:rPr>
                <w:rFonts w:hint="eastAsia" w:ascii="宋体" w:hAnsi="宋体" w:cs="宋体"/>
                <w:color w:val="auto"/>
                <w:kern w:val="0"/>
                <w:szCs w:val="21"/>
              </w:rPr>
              <w:t>（4）</w:t>
            </w:r>
            <w:r>
              <w:rPr>
                <w:rFonts w:hint="eastAsia" w:ascii="宋体" w:hAnsi="宋体" w:cs="宋体"/>
                <w:color w:val="auto"/>
                <w:szCs w:val="21"/>
              </w:rPr>
              <w:t>电子保函、电子保险应为无条件的、不可撤销的担保或保证保险，且担保或保险阐述范围应当包含本招标文件约定的投标保证金不予退还的所有情形，否则为无效。</w:t>
            </w:r>
          </w:p>
        </w:tc>
      </w:tr>
      <w:tr>
        <w:tblPrEx>
          <w:tblCellMar>
            <w:top w:w="0" w:type="dxa"/>
            <w:left w:w="108" w:type="dxa"/>
            <w:bottom w:w="0" w:type="dxa"/>
            <w:right w:w="108" w:type="dxa"/>
          </w:tblCellMar>
        </w:tblPrEx>
        <w:trPr>
          <w:trHeight w:val="1293" w:hRule="atLeast"/>
        </w:trPr>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3.4.4</w:t>
            </w:r>
          </w:p>
        </w:tc>
        <w:tc>
          <w:tcPr>
            <w:tcW w:w="29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其他可以不予退还投标保证金的情形</w:t>
            </w:r>
          </w:p>
        </w:tc>
        <w:tc>
          <w:tcPr>
            <w:tcW w:w="5148"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cs="宋体"/>
                <w:color w:val="auto"/>
                <w:szCs w:val="21"/>
              </w:rPr>
            </w:pPr>
            <w:r>
              <w:rPr>
                <w:rFonts w:hint="eastAsia" w:ascii="宋体" w:hAnsi="宋体" w:cs="宋体"/>
                <w:color w:val="auto"/>
                <w:szCs w:val="21"/>
              </w:rPr>
              <w:t>无</w:t>
            </w:r>
          </w:p>
        </w:tc>
      </w:tr>
      <w:tr>
        <w:tblPrEx>
          <w:tblCellMar>
            <w:top w:w="0" w:type="dxa"/>
            <w:left w:w="108" w:type="dxa"/>
            <w:bottom w:w="0" w:type="dxa"/>
            <w:right w:w="108" w:type="dxa"/>
          </w:tblCellMar>
        </w:tblPrEx>
        <w:trPr>
          <w:trHeight w:val="9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3.6.3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签字或盖章要求</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第一册商务投标文件、第二册技术投标文件：</w:t>
            </w:r>
          </w:p>
          <w:p>
            <w:pPr>
              <w:ind w:firstLine="420" w:firstLineChars="200"/>
              <w:rPr>
                <w:rFonts w:ascii="宋体" w:hAnsi="宋体" w:cs="宋体"/>
                <w:color w:val="auto"/>
                <w:szCs w:val="21"/>
              </w:rPr>
            </w:pPr>
            <w:r>
              <w:rPr>
                <w:rFonts w:hint="eastAsia" w:ascii="宋体" w:hAnsi="宋体" w:cs="宋体"/>
                <w:color w:val="auto"/>
                <w:szCs w:val="21"/>
              </w:rPr>
              <w:t>对投标文件进行电子签名、电子签章根据《关于建设工程项目启动电子签名（签章）功能的通知》（惠公易函〔2019〕37号）的规定执行。如投标人在投标截止前仍未到惠州市公共资源交易中心办理电子签名及电子签章的，由此产生的一切后果由投标人自行承担后果。</w:t>
            </w:r>
          </w:p>
          <w:p>
            <w:pPr>
              <w:ind w:firstLine="420" w:firstLineChars="200"/>
              <w:rPr>
                <w:rFonts w:ascii="宋体" w:hAnsi="宋体" w:cs="宋体"/>
                <w:color w:val="auto"/>
                <w:szCs w:val="21"/>
              </w:rPr>
            </w:pPr>
            <w:r>
              <w:rPr>
                <w:rFonts w:hint="eastAsia" w:ascii="宋体" w:hAnsi="宋体" w:cs="宋体"/>
                <w:color w:val="auto"/>
                <w:szCs w:val="21"/>
              </w:rPr>
              <w:t>（1）投标文件编制完成并由投标人拟派出的项目负责人及技术负责人亲笔签名确认后（无需先加盖公章和法定代表人签名及标注正副本），按照《关于建设工程项目全面启用投标文件特征码检测功能的通知》（惠公易函〔2020〕78号）及有关规定完成电子签章和法定代表人电子签名，并在《招标日程安排表》确定的投标（网上报价）截止时间前通过惠州市公共资源交易中心建设工程招投标交易平台提交。</w:t>
            </w:r>
          </w:p>
          <w:p>
            <w:pPr>
              <w:ind w:firstLine="420" w:firstLineChars="200"/>
              <w:rPr>
                <w:rFonts w:ascii="宋体" w:hAnsi="宋体" w:cs="宋体"/>
                <w:color w:val="auto"/>
                <w:szCs w:val="21"/>
              </w:rPr>
            </w:pPr>
            <w:r>
              <w:rPr>
                <w:rFonts w:hint="eastAsia" w:ascii="宋体" w:hAnsi="宋体" w:cs="宋体"/>
                <w:color w:val="auto"/>
                <w:szCs w:val="21"/>
              </w:rPr>
              <w:t>（2）项目负责人、技术负责人的亲笔签名，必须按投标文件格式要求在指定位置亲笔签名后扫描放入投标文件。</w:t>
            </w:r>
          </w:p>
          <w:p>
            <w:pPr>
              <w:ind w:firstLine="420" w:firstLineChars="200"/>
              <w:rPr>
                <w:rFonts w:ascii="宋体" w:hAnsi="宋体" w:cs="宋体"/>
                <w:color w:val="auto"/>
                <w:szCs w:val="21"/>
              </w:rPr>
            </w:pPr>
            <w:r>
              <w:rPr>
                <w:rFonts w:hint="eastAsia" w:ascii="宋体" w:hAnsi="宋体" w:cs="宋体"/>
                <w:color w:val="auto"/>
                <w:szCs w:val="21"/>
              </w:rPr>
              <w:t>（注：以上“亲笔签名”是指项目负责人和技术负责人采用黑色笔迹亲笔签名。）</w:t>
            </w:r>
          </w:p>
          <w:p>
            <w:pPr>
              <w:ind w:firstLine="420" w:firstLineChars="20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投标人只需按规定在“关于电子签章和电子签名的声明函（即电子签章和电子签名扉页）”中完成电子签名、电子签章及亲笔签名即可，除此之外其他投标文件格式中有电子签章和电子签名的地方无需再进行电子签章和电子签名。</w:t>
            </w:r>
          </w:p>
          <w:p>
            <w:pPr>
              <w:ind w:firstLine="420" w:firstLineChars="200"/>
              <w:rPr>
                <w:rFonts w:ascii="宋体" w:hAnsi="宋体" w:cs="宋体"/>
                <w:color w:val="auto"/>
                <w:szCs w:val="21"/>
              </w:rPr>
            </w:pPr>
            <w:r>
              <w:rPr>
                <w:rFonts w:hint="eastAsia" w:ascii="宋体" w:hAnsi="宋体" w:cs="宋体"/>
                <w:color w:val="auto"/>
                <w:szCs w:val="21"/>
              </w:rPr>
              <w:t>（4）须进行电子签章和电子签名的地方，在该页有签章和签名即可，未加盖在指定位置的也视为有效。</w:t>
            </w:r>
          </w:p>
          <w:p>
            <w:pPr>
              <w:ind w:firstLine="420" w:firstLineChars="200"/>
              <w:rPr>
                <w:rFonts w:ascii="宋体" w:hAnsi="宋体" w:cs="宋体"/>
                <w:color w:val="auto"/>
                <w:szCs w:val="21"/>
              </w:rPr>
            </w:pPr>
            <w:r>
              <w:rPr>
                <w:rFonts w:hint="eastAsia" w:ascii="宋体" w:hAnsi="宋体" w:cs="宋体"/>
                <w:color w:val="auto"/>
                <w:szCs w:val="21"/>
              </w:rPr>
              <w:t>（5）投标文件未按招标文件要求进行电子签章、电子签名和亲笔签名（如有）的作无效标处理。</w:t>
            </w:r>
          </w:p>
          <w:p>
            <w:pPr>
              <w:pStyle w:val="2"/>
              <w:rPr>
                <w:rFonts w:ascii="宋体" w:hAnsi="宋体" w:cs="宋体"/>
                <w:color w:val="auto"/>
                <w:szCs w:val="21"/>
              </w:rPr>
            </w:pPr>
          </w:p>
          <w:p>
            <w:pPr>
              <w:pStyle w:val="2"/>
              <w:ind w:firstLine="422"/>
              <w:rPr>
                <w:rFonts w:ascii="宋体" w:hAnsi="宋体"/>
                <w:b/>
                <w:bCs/>
                <w:color w:val="auto"/>
              </w:rPr>
            </w:pPr>
            <w:r>
              <w:rPr>
                <w:rFonts w:hint="eastAsia" w:ascii="宋体" w:hAnsi="宋体"/>
                <w:b/>
                <w:bCs/>
                <w:color w:val="auto"/>
              </w:rPr>
              <w:t>第一册商务投标文件公示版为doc格式或docx格式文件，不需要加盖电子签章和电子签名，通过惠州市公共资源交易中心平台指定模块提交。</w:t>
            </w:r>
          </w:p>
          <w:p>
            <w:pPr>
              <w:adjustRightInd w:val="0"/>
              <w:spacing w:line="360" w:lineRule="auto"/>
              <w:rPr>
                <w:rFonts w:ascii="宋体" w:hAnsi="宋体" w:cs="宋体"/>
                <w:b/>
                <w:bCs/>
                <w:color w:val="auto"/>
                <w:szCs w:val="21"/>
              </w:rPr>
            </w:pPr>
            <w:r>
              <w:rPr>
                <w:rFonts w:hint="eastAsia" w:ascii="宋体" w:hAnsi="宋体" w:cs="宋体"/>
                <w:b/>
                <w:bCs/>
                <w:color w:val="auto"/>
                <w:szCs w:val="21"/>
              </w:rPr>
              <w:t>第三册已标价工程量清单投标文件：</w:t>
            </w:r>
          </w:p>
          <w:p>
            <w:pPr>
              <w:pStyle w:val="2"/>
              <w:rPr>
                <w:rFonts w:ascii="宋体" w:hAnsi="宋体" w:cs="宋体"/>
                <w:color w:val="auto"/>
                <w:szCs w:val="21"/>
              </w:rPr>
            </w:pPr>
            <w:r>
              <w:rPr>
                <w:rFonts w:hint="eastAsia" w:ascii="宋体" w:hAnsi="宋体" w:cs="宋体"/>
                <w:color w:val="auto"/>
                <w:szCs w:val="21"/>
              </w:rPr>
              <w:t>已标价工程量清单投标文件只需上传XML2.0格式电子标书，不需要加盖电子签章和电子签名。</w:t>
            </w:r>
          </w:p>
        </w:tc>
      </w:tr>
      <w:tr>
        <w:tblPrEx>
          <w:tblCellMar>
            <w:top w:w="0" w:type="dxa"/>
            <w:left w:w="108" w:type="dxa"/>
            <w:bottom w:w="0" w:type="dxa"/>
            <w:right w:w="108" w:type="dxa"/>
          </w:tblCellMar>
        </w:tblPrEx>
        <w:trPr>
          <w:trHeight w:val="425"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3.6.4</w:t>
            </w:r>
          </w:p>
        </w:tc>
        <w:tc>
          <w:tcPr>
            <w:tcW w:w="2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投标文件递交要求</w:t>
            </w:r>
          </w:p>
        </w:tc>
        <w:tc>
          <w:tcPr>
            <w:tcW w:w="5148" w:type="dxa"/>
            <w:tcBorders>
              <w:top w:val="single" w:color="auto" w:sz="4" w:space="0"/>
              <w:left w:val="single" w:color="auto" w:sz="4" w:space="0"/>
              <w:bottom w:val="single" w:color="auto" w:sz="4" w:space="0"/>
              <w:right w:val="single" w:color="auto" w:sz="4" w:space="0"/>
            </w:tcBorders>
            <w:vAlign w:val="center"/>
          </w:tcPr>
          <w:p>
            <w:pPr>
              <w:ind w:firstLine="422" w:firstLineChars="200"/>
              <w:rPr>
                <w:rFonts w:ascii="宋体" w:hAnsi="宋体" w:cs="宋体"/>
                <w:bCs/>
                <w:color w:val="auto"/>
                <w:szCs w:val="21"/>
              </w:rPr>
            </w:pPr>
            <w:r>
              <w:rPr>
                <w:rFonts w:ascii="宋体" w:hAnsi="宋体" w:cs="宋体"/>
                <w:b/>
                <w:bCs/>
                <w:color w:val="auto"/>
                <w:szCs w:val="21"/>
              </w:rPr>
              <w:t>1、</w:t>
            </w:r>
            <w:r>
              <w:rPr>
                <w:rFonts w:hint="eastAsia" w:ascii="宋体" w:hAnsi="宋体" w:cs="宋体"/>
                <w:b/>
                <w:bCs/>
                <w:color w:val="auto"/>
                <w:szCs w:val="21"/>
              </w:rPr>
              <w:t>电子投标文件：</w:t>
            </w:r>
            <w:r>
              <w:rPr>
                <w:rFonts w:hint="eastAsia" w:ascii="宋体" w:hAnsi="宋体" w:cs="宋体"/>
                <w:bCs/>
                <w:color w:val="auto"/>
                <w:szCs w:val="21"/>
              </w:rPr>
              <w:t>由第一册商务投标文件（</w:t>
            </w:r>
            <w:r>
              <w:rPr>
                <w:rFonts w:ascii="宋体" w:hAnsi="宋体" w:cs="宋体"/>
                <w:bCs/>
                <w:color w:val="auto"/>
                <w:szCs w:val="21"/>
              </w:rPr>
              <w:t>PDF</w:t>
            </w:r>
            <w:r>
              <w:rPr>
                <w:rFonts w:hint="eastAsia" w:ascii="宋体" w:hAnsi="宋体" w:cs="宋体"/>
                <w:bCs/>
                <w:color w:val="auto"/>
                <w:szCs w:val="21"/>
              </w:rPr>
              <w:t>格式）、第二册技术投标文件（</w:t>
            </w:r>
            <w:r>
              <w:rPr>
                <w:rFonts w:ascii="宋体" w:hAnsi="宋体" w:cs="宋体"/>
                <w:bCs/>
                <w:color w:val="auto"/>
                <w:szCs w:val="21"/>
              </w:rPr>
              <w:t>PDF</w:t>
            </w:r>
            <w:r>
              <w:rPr>
                <w:rFonts w:hint="eastAsia" w:ascii="宋体" w:hAnsi="宋体" w:cs="宋体"/>
                <w:bCs/>
                <w:color w:val="auto"/>
                <w:szCs w:val="21"/>
              </w:rPr>
              <w:t>格式）、第三册已标价工程量清单（</w:t>
            </w:r>
            <w:r>
              <w:rPr>
                <w:rFonts w:ascii="宋体" w:hAnsi="宋体" w:cs="宋体"/>
                <w:bCs/>
                <w:color w:val="auto"/>
                <w:szCs w:val="21"/>
              </w:rPr>
              <w:t>XML2.0格式</w:t>
            </w:r>
            <w:r>
              <w:rPr>
                <w:rFonts w:hint="eastAsia" w:ascii="宋体" w:hAnsi="宋体" w:cs="宋体"/>
                <w:bCs/>
                <w:color w:val="auto"/>
                <w:szCs w:val="21"/>
              </w:rPr>
              <w:t>，不需要加盖电子签章和电子签名）、第一册商务投标文件公示版（</w:t>
            </w:r>
            <w:r>
              <w:rPr>
                <w:rFonts w:ascii="宋体" w:hAnsi="宋体" w:cs="宋体"/>
                <w:bCs/>
                <w:color w:val="auto"/>
                <w:szCs w:val="21"/>
              </w:rPr>
              <w:t>doc或docx格式</w:t>
            </w:r>
            <w:r>
              <w:rPr>
                <w:rFonts w:hint="eastAsia" w:ascii="宋体" w:hAnsi="宋体" w:cs="宋体"/>
                <w:bCs/>
                <w:color w:val="auto"/>
                <w:szCs w:val="21"/>
              </w:rPr>
              <w:t>，不需要再另行加盖电子签章和电子签名）四部分组成（电子投标文件无需标识“正本”或“副本”，</w:t>
            </w:r>
            <w:r>
              <w:rPr>
                <w:rFonts w:ascii="宋体" w:hAnsi="宋体" w:cs="宋体"/>
                <w:bCs/>
                <w:color w:val="auto"/>
                <w:szCs w:val="21"/>
              </w:rPr>
              <w:t>PDF格式的</w:t>
            </w:r>
            <w:r>
              <w:rPr>
                <w:rFonts w:hint="eastAsia" w:ascii="宋体" w:hAnsi="宋体" w:cs="宋体"/>
                <w:bCs/>
                <w:color w:val="auto"/>
                <w:szCs w:val="21"/>
              </w:rPr>
              <w:t>投标文件应当具备“惠州市公共资源交易中心”字样底纹以及投标文件封面须有二维码）。</w:t>
            </w:r>
          </w:p>
          <w:p>
            <w:pPr>
              <w:ind w:firstLine="420" w:firstLineChars="200"/>
              <w:rPr>
                <w:rFonts w:ascii="宋体" w:hAnsi="宋体" w:cs="宋体"/>
                <w:bCs/>
                <w:color w:val="auto"/>
                <w:szCs w:val="21"/>
              </w:rPr>
            </w:pPr>
            <w:r>
              <w:rPr>
                <w:rFonts w:hint="eastAsia" w:ascii="宋体" w:hAnsi="宋体" w:cs="宋体"/>
                <w:bCs/>
                <w:color w:val="auto"/>
                <w:szCs w:val="21"/>
              </w:rPr>
              <w:t>第一册商务投标文件公示版仅作为中标候选人公示用途，不作为评标依据，只公示中标候选人的商务投标文件公示版。投标人商务投标文件公示版内容中须取消所有网址超链接，除可屏蔽投标文件中的个人身份证号码等私密信息以及依法需要保密或者涉及商业秘密的内容外，其余内容必须与第一册商务投标文件一致（商务投标文件公示版</w:t>
            </w:r>
            <w:r>
              <w:rPr>
                <w:rFonts w:ascii="宋体" w:hAnsi="宋体" w:cs="宋体"/>
                <w:bCs/>
                <w:color w:val="auto"/>
                <w:szCs w:val="21"/>
              </w:rPr>
              <w:t>doc或docx格式不需要</w:t>
            </w:r>
            <w:r>
              <w:rPr>
                <w:rFonts w:hint="eastAsia" w:ascii="宋体" w:hAnsi="宋体" w:cs="宋体"/>
                <w:bCs/>
                <w:color w:val="auto"/>
                <w:szCs w:val="21"/>
              </w:rPr>
              <w:t>再另行加盖电子签章和电子签名）。</w:t>
            </w:r>
          </w:p>
          <w:p>
            <w:pPr>
              <w:ind w:firstLine="420" w:firstLineChars="200"/>
              <w:rPr>
                <w:rFonts w:ascii="宋体" w:hAnsi="宋体" w:cs="宋体"/>
                <w:color w:val="auto"/>
                <w:szCs w:val="21"/>
              </w:rPr>
            </w:pPr>
            <w:r>
              <w:rPr>
                <w:rFonts w:hint="eastAsia" w:ascii="宋体" w:hAnsi="宋体" w:cs="宋体"/>
                <w:bCs/>
                <w:color w:val="auto"/>
                <w:szCs w:val="21"/>
              </w:rPr>
              <w:t>电子投标文件</w:t>
            </w:r>
            <w:r>
              <w:rPr>
                <w:rFonts w:hint="eastAsia" w:ascii="宋体" w:hAnsi="宋体" w:cs="宋体"/>
                <w:color w:val="auto"/>
                <w:szCs w:val="21"/>
              </w:rPr>
              <w:t>在《招标日程安排表》确定的投标（网上报价）截止时间前通过惠州市公共资源交易中心建设工程招投标交易平台提交。电子投标文件无需另行拷盘提交。</w:t>
            </w:r>
            <w:r>
              <w:rPr>
                <w:rFonts w:hint="eastAsia" w:ascii="宋体" w:hAnsi="宋体"/>
                <w:color w:val="auto"/>
                <w:szCs w:val="21"/>
              </w:rPr>
              <w:t>电子投标文件逾期不递交或递交后系统解密读取失败的（排除网络连接问题），</w:t>
            </w:r>
            <w:r>
              <w:rPr>
                <w:rFonts w:hint="eastAsia" w:ascii="宋体" w:hAnsi="宋体"/>
                <w:bCs/>
                <w:color w:val="auto"/>
                <w:szCs w:val="21"/>
              </w:rPr>
              <w:t>视为无效投标。</w:t>
            </w:r>
          </w:p>
          <w:p>
            <w:pPr>
              <w:ind w:firstLine="422" w:firstLineChars="200"/>
              <w:rPr>
                <w:rFonts w:ascii="宋体" w:hAnsi="宋体" w:cs="宋体"/>
                <w:b/>
                <w:bCs/>
                <w:color w:val="auto"/>
                <w:szCs w:val="21"/>
              </w:rPr>
            </w:pPr>
            <w:r>
              <w:rPr>
                <w:rFonts w:ascii="宋体" w:hAnsi="宋体" w:cs="宋体"/>
                <w:b/>
                <w:bCs/>
                <w:color w:val="auto"/>
                <w:szCs w:val="21"/>
              </w:rPr>
              <w:t>2、</w:t>
            </w:r>
            <w:r>
              <w:rPr>
                <w:rFonts w:hint="eastAsia" w:ascii="宋体" w:hAnsi="宋体" w:cs="宋体"/>
                <w:b/>
                <w:bCs/>
                <w:color w:val="auto"/>
                <w:szCs w:val="21"/>
              </w:rPr>
              <w:t>书面投标文件：书面投标文件在开标、评标阶段无需递交，中标人须在中标候选人公示发布后三个工作日内打印一正二副（在右上角注明“正本、副本”）并装订成册，交至惠州市公共资源交易中心建设工程交易部，中标人以外的投标人无需递交。</w:t>
            </w:r>
          </w:p>
          <w:p>
            <w:pPr>
              <w:ind w:firstLine="422" w:firstLineChars="200"/>
              <w:rPr>
                <w:rFonts w:ascii="宋体" w:hAnsi="宋体" w:cs="宋体"/>
                <w:b/>
                <w:bCs/>
                <w:color w:val="auto"/>
                <w:szCs w:val="21"/>
              </w:rPr>
            </w:pPr>
            <w:r>
              <w:rPr>
                <w:rFonts w:hint="eastAsia" w:ascii="宋体" w:hAnsi="宋体" w:cs="宋体"/>
                <w:b/>
                <w:bCs/>
                <w:color w:val="auto"/>
                <w:szCs w:val="21"/>
              </w:rPr>
              <w:t>（</w:t>
            </w:r>
            <w:r>
              <w:rPr>
                <w:rFonts w:ascii="宋体" w:hAnsi="宋体" w:cs="宋体"/>
                <w:b/>
                <w:bCs/>
                <w:color w:val="auto"/>
                <w:szCs w:val="21"/>
              </w:rPr>
              <w:t>1）书面投标文件应为投标人从惠州市公共资源交易中心建设工程招投标交易平台</w:t>
            </w:r>
            <w:r>
              <w:rPr>
                <w:rFonts w:hint="eastAsia" w:ascii="宋体" w:hAnsi="宋体" w:cs="宋体"/>
                <w:b/>
                <w:bCs/>
                <w:color w:val="auto"/>
                <w:szCs w:val="21"/>
              </w:rPr>
              <w:t>下载打印的有效投标文件（书面投标文件所呈现的“惠州市公共资源交易中心”字样底纹以及二维码须与系统内上传的</w:t>
            </w:r>
            <w:r>
              <w:rPr>
                <w:rFonts w:ascii="宋体" w:hAnsi="宋体" w:cs="宋体"/>
                <w:b/>
                <w:bCs/>
                <w:color w:val="auto"/>
                <w:szCs w:val="21"/>
              </w:rPr>
              <w:t>PDF格式电子版保持一致，包括电子签章和电子签名）。</w:t>
            </w:r>
          </w:p>
          <w:p>
            <w:pPr>
              <w:ind w:firstLine="422" w:firstLineChars="200"/>
              <w:rPr>
                <w:rFonts w:ascii="宋体" w:hAnsi="宋体" w:cs="宋体"/>
                <w:b/>
                <w:bCs/>
                <w:color w:val="auto"/>
                <w:szCs w:val="21"/>
              </w:rPr>
            </w:pPr>
            <w:r>
              <w:rPr>
                <w:rFonts w:hint="eastAsia" w:ascii="宋体" w:hAnsi="宋体" w:cs="宋体"/>
                <w:b/>
                <w:bCs/>
                <w:color w:val="auto"/>
                <w:szCs w:val="21"/>
              </w:rPr>
              <w:t>（</w:t>
            </w:r>
            <w:r>
              <w:rPr>
                <w:rFonts w:ascii="宋体" w:hAnsi="宋体" w:cs="宋体"/>
                <w:b/>
                <w:bCs/>
                <w:color w:val="auto"/>
                <w:szCs w:val="21"/>
              </w:rPr>
              <w:t>2）第三册已标价工程量清单应为投标人从惠州市公共资源交易中心建设工程招投标交易平台下载</w:t>
            </w:r>
            <w:r>
              <w:rPr>
                <w:rFonts w:hint="eastAsia" w:ascii="宋体" w:hAnsi="宋体" w:cs="宋体"/>
                <w:b/>
                <w:bCs/>
                <w:color w:val="auto"/>
                <w:szCs w:val="21"/>
              </w:rPr>
              <w:t>打印</w:t>
            </w:r>
            <w:r>
              <w:rPr>
                <w:rFonts w:ascii="宋体" w:hAnsi="宋体" w:cs="宋体"/>
                <w:b/>
                <w:bCs/>
                <w:color w:val="auto"/>
                <w:szCs w:val="21"/>
              </w:rPr>
              <w:t>的有效投标文件，书面投标文件封面须按格式要求加盖单位公章</w:t>
            </w:r>
            <w:r>
              <w:rPr>
                <w:rFonts w:hint="eastAsia" w:ascii="宋体" w:hAnsi="宋体" w:cs="宋体"/>
                <w:b/>
                <w:bCs/>
                <w:color w:val="auto"/>
                <w:szCs w:val="21"/>
              </w:rPr>
              <w:t>和法定代表人或其委托代理人、项目负责人、技术负责人的亲笔签名。</w:t>
            </w:r>
          </w:p>
          <w:p>
            <w:pPr>
              <w:ind w:firstLine="422" w:firstLineChars="200"/>
              <w:rPr>
                <w:rFonts w:ascii="宋体" w:hAnsi="宋体" w:cs="宋体"/>
                <w:color w:val="auto"/>
                <w:szCs w:val="21"/>
              </w:rPr>
            </w:pPr>
            <w:r>
              <w:rPr>
                <w:rFonts w:hint="eastAsia" w:ascii="宋体" w:hAnsi="宋体" w:cs="宋体"/>
                <w:b/>
                <w:bCs/>
                <w:color w:val="auto"/>
                <w:szCs w:val="21"/>
              </w:rPr>
              <w:t>（</w:t>
            </w:r>
            <w:r>
              <w:rPr>
                <w:rFonts w:ascii="宋体" w:hAnsi="宋体" w:cs="宋体"/>
                <w:b/>
                <w:bCs/>
                <w:color w:val="auto"/>
                <w:szCs w:val="21"/>
              </w:rPr>
              <w:t>3）商务投标文件公示版无需打印。</w:t>
            </w:r>
          </w:p>
        </w:tc>
      </w:tr>
      <w:tr>
        <w:tblPrEx>
          <w:tblCellMar>
            <w:top w:w="0" w:type="dxa"/>
            <w:left w:w="108" w:type="dxa"/>
            <w:bottom w:w="0" w:type="dxa"/>
            <w:right w:w="108" w:type="dxa"/>
          </w:tblCellMar>
        </w:tblPrEx>
        <w:trPr>
          <w:trHeight w:val="756"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3.6.5</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装订要求</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装订成册无活页，投标文件内容过多的可分册装订</w:t>
            </w:r>
          </w:p>
        </w:tc>
      </w:tr>
      <w:tr>
        <w:tblPrEx>
          <w:tblCellMar>
            <w:top w:w="0" w:type="dxa"/>
            <w:left w:w="108" w:type="dxa"/>
            <w:bottom w:w="0" w:type="dxa"/>
            <w:right w:w="108" w:type="dxa"/>
          </w:tblCellMar>
        </w:tblPrEx>
        <w:trPr>
          <w:trHeight w:val="834"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4.1.1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密封要求</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ascii="宋体" w:hAnsi="宋体" w:cs="宋体"/>
                <w:color w:val="auto"/>
                <w:szCs w:val="21"/>
              </w:rPr>
              <w:t>/</w:t>
            </w:r>
          </w:p>
        </w:tc>
      </w:tr>
      <w:tr>
        <w:tblPrEx>
          <w:tblCellMar>
            <w:top w:w="0" w:type="dxa"/>
            <w:left w:w="108" w:type="dxa"/>
            <w:bottom w:w="0" w:type="dxa"/>
            <w:right w:w="108" w:type="dxa"/>
          </w:tblCellMar>
        </w:tblPrEx>
        <w:trPr>
          <w:trHeight w:val="9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4.1.2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封套上应载明的信息</w:t>
            </w:r>
          </w:p>
        </w:tc>
        <w:tc>
          <w:tcPr>
            <w:tcW w:w="5148"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宋体" w:hAnsi="宋体"/>
                <w:color w:val="auto"/>
              </w:rPr>
            </w:pPr>
            <w:r>
              <w:rPr>
                <w:rFonts w:hint="eastAsia" w:ascii="宋体" w:hAnsi="宋体" w:cs="等线"/>
                <w:color w:val="auto"/>
                <w:kern w:val="0"/>
                <w:szCs w:val="21"/>
              </w:rPr>
              <w:t>/</w:t>
            </w:r>
          </w:p>
        </w:tc>
      </w:tr>
      <w:tr>
        <w:tblPrEx>
          <w:tblCellMar>
            <w:top w:w="0" w:type="dxa"/>
            <w:left w:w="108" w:type="dxa"/>
            <w:bottom w:w="0" w:type="dxa"/>
            <w:right w:w="108" w:type="dxa"/>
          </w:tblCellMar>
        </w:tblPrEx>
        <w:trPr>
          <w:trHeight w:val="862"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4.1.3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需要投标人递交原件资料核查的要求</w:t>
            </w:r>
          </w:p>
        </w:tc>
        <w:tc>
          <w:tcPr>
            <w:tcW w:w="5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需要递交原件的资料：</w:t>
            </w:r>
          </w:p>
          <w:p>
            <w:pPr>
              <w:jc w:val="left"/>
              <w:rPr>
                <w:rFonts w:ascii="宋体" w:hAnsi="宋体"/>
                <w:b/>
                <w:color w:val="auto"/>
              </w:rPr>
            </w:pPr>
            <w:r>
              <w:rPr>
                <w:rFonts w:hint="eastAsia" w:ascii="宋体" w:hAnsi="宋体" w:cs="宋体"/>
                <w:color w:val="auto"/>
                <w:szCs w:val="21"/>
              </w:rPr>
              <w:t>原件资料递交规定：</w:t>
            </w:r>
          </w:p>
        </w:tc>
      </w:tr>
      <w:tr>
        <w:tblPrEx>
          <w:tblCellMar>
            <w:top w:w="0" w:type="dxa"/>
            <w:left w:w="108" w:type="dxa"/>
            <w:bottom w:w="0" w:type="dxa"/>
            <w:right w:w="108" w:type="dxa"/>
          </w:tblCellMar>
        </w:tblPrEx>
        <w:trPr>
          <w:trHeight w:val="547"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投标截止时间</w:t>
            </w:r>
          </w:p>
        </w:tc>
        <w:tc>
          <w:tcPr>
            <w:tcW w:w="5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以招标公告《招标日程安排表》为准。</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4.2.2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递交投标文件地点</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Theme="minorEastAsia" w:hAnsiTheme="minorEastAsia" w:cstheme="minorEastAsia"/>
                <w:color w:val="auto"/>
                <w:szCs w:val="21"/>
              </w:rPr>
              <w:t>通过网络上传的方式，上传至惠州市公共资源交易中心建设工程招投标交易平台对应招标项目的指定模块。</w:t>
            </w:r>
          </w:p>
        </w:tc>
      </w:tr>
      <w:tr>
        <w:tblPrEx>
          <w:tblCellMar>
            <w:top w:w="0" w:type="dxa"/>
            <w:left w:w="108" w:type="dxa"/>
            <w:bottom w:w="0" w:type="dxa"/>
            <w:right w:w="108" w:type="dxa"/>
          </w:tblCellMar>
        </w:tblPrEx>
        <w:trPr>
          <w:trHeight w:val="45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4.2.3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是否退还投标文件</w:t>
            </w:r>
          </w:p>
        </w:tc>
        <w:tc>
          <w:tcPr>
            <w:tcW w:w="5148" w:type="dxa"/>
            <w:tcBorders>
              <w:top w:val="single" w:color="auto" w:sz="4" w:space="0"/>
              <w:left w:val="single" w:color="auto" w:sz="4" w:space="0"/>
              <w:bottom w:val="single" w:color="auto" w:sz="4" w:space="0"/>
              <w:right w:val="single" w:color="auto" w:sz="4" w:space="0"/>
            </w:tcBorders>
            <w:vAlign w:val="center"/>
          </w:tcPr>
          <w:p>
            <w:pPr>
              <w:pStyle w:val="16"/>
              <w:topLinePunct/>
              <w:rPr>
                <w:rFonts w:hAnsi="宋体" w:cs="宋体"/>
                <w:color w:val="auto"/>
                <w:sz w:val="21"/>
                <w:szCs w:val="21"/>
              </w:rPr>
            </w:pPr>
            <w:r>
              <w:rPr>
                <w:rFonts w:hint="eastAsia" w:hAnsi="宋体" w:cs="宋体"/>
                <w:color w:val="auto"/>
                <w:sz w:val="21"/>
                <w:szCs w:val="21"/>
              </w:rPr>
              <w:t>□ 否</w:t>
            </w:r>
          </w:p>
          <w:p>
            <w:pPr>
              <w:rPr>
                <w:rFonts w:ascii="宋体" w:hAnsi="宋体" w:cs="宋体"/>
                <w:color w:val="auto"/>
                <w:szCs w:val="21"/>
              </w:rPr>
            </w:pPr>
            <w:r>
              <w:rPr>
                <w:rFonts w:hint="eastAsia" w:ascii="宋体" w:hAnsi="宋体" w:cs="宋体"/>
                <w:color w:val="auto"/>
                <w:szCs w:val="21"/>
              </w:rPr>
              <w:t>□ 是</w:t>
            </w:r>
          </w:p>
        </w:tc>
      </w:tr>
      <w:tr>
        <w:tblPrEx>
          <w:tblCellMar>
            <w:top w:w="0" w:type="dxa"/>
            <w:left w:w="108" w:type="dxa"/>
            <w:bottom w:w="0" w:type="dxa"/>
            <w:right w:w="108" w:type="dxa"/>
          </w:tblCellMar>
        </w:tblPrEx>
        <w:trPr>
          <w:trHeight w:val="717" w:hRule="atLeast"/>
        </w:trPr>
        <w:tc>
          <w:tcPr>
            <w:tcW w:w="97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5.1</w:t>
            </w:r>
          </w:p>
        </w:tc>
        <w:tc>
          <w:tcPr>
            <w:tcW w:w="2938"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开标时间和地点</w:t>
            </w:r>
          </w:p>
        </w:tc>
        <w:tc>
          <w:tcPr>
            <w:tcW w:w="5148"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开标时间：以招标公告《招标日程安排表》为准。</w:t>
            </w:r>
          </w:p>
          <w:p>
            <w:pPr>
              <w:rPr>
                <w:rFonts w:ascii="宋体" w:hAnsi="宋体" w:cs="宋体"/>
                <w:color w:val="auto"/>
                <w:szCs w:val="21"/>
              </w:rPr>
            </w:pPr>
            <w:r>
              <w:rPr>
                <w:rFonts w:hint="eastAsia" w:ascii="宋体" w:hAnsi="宋体" w:cs="宋体"/>
                <w:color w:val="auto"/>
                <w:szCs w:val="21"/>
              </w:rPr>
              <w:t>开标地点：以招标公告《招标日程安排表》为准。</w:t>
            </w:r>
          </w:p>
          <w:p>
            <w:pPr>
              <w:rPr>
                <w:rFonts w:ascii="宋体" w:hAnsi="宋体" w:cs="宋体"/>
                <w:color w:val="auto"/>
                <w:szCs w:val="21"/>
              </w:rPr>
            </w:pPr>
            <w:r>
              <w:rPr>
                <w:rFonts w:hint="eastAsia" w:ascii="宋体" w:hAnsi="宋体" w:cs="宋体"/>
                <w:b/>
                <w:bCs/>
                <w:color w:val="auto"/>
                <w:szCs w:val="21"/>
              </w:rPr>
              <w:t>投标人的法定代表人或其委托代理人必须是各投标人的交易员，投标人交易员凭有效身份证原件准时参加开标会（逾期不予进场），投标人不派交易员参加开标会的，视作同意开标结果。非交易员不得入场。</w:t>
            </w:r>
          </w:p>
        </w:tc>
      </w:tr>
      <w:tr>
        <w:tblPrEx>
          <w:tblCellMar>
            <w:top w:w="0" w:type="dxa"/>
            <w:left w:w="108" w:type="dxa"/>
            <w:bottom w:w="0" w:type="dxa"/>
            <w:right w:w="108" w:type="dxa"/>
          </w:tblCellMar>
        </w:tblPrEx>
        <w:trPr>
          <w:trHeight w:val="741" w:hRule="atLeast"/>
        </w:trPr>
        <w:tc>
          <w:tcPr>
            <w:tcW w:w="97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5.2</w:t>
            </w:r>
          </w:p>
        </w:tc>
        <w:tc>
          <w:tcPr>
            <w:tcW w:w="2938"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开标程序</w:t>
            </w:r>
          </w:p>
        </w:tc>
        <w:tc>
          <w:tcPr>
            <w:tcW w:w="5148"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开标顺序：按惠州市公共资源交易中心建设工程招投标交易平台开标一览表列明的投标人顺序。</w:t>
            </w:r>
          </w:p>
        </w:tc>
      </w:tr>
      <w:tr>
        <w:tblPrEx>
          <w:tblCellMar>
            <w:top w:w="0" w:type="dxa"/>
            <w:left w:w="108" w:type="dxa"/>
            <w:bottom w:w="0" w:type="dxa"/>
            <w:right w:w="108" w:type="dxa"/>
          </w:tblCellMar>
        </w:tblPrEx>
        <w:trPr>
          <w:trHeight w:val="1805"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6.1.1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评标委员会的组建</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评标委员会构成：</w:t>
            </w:r>
            <w:r>
              <w:rPr>
                <w:rFonts w:hint="eastAsia" w:ascii="宋体" w:hAnsi="宋体" w:cs="宋体"/>
                <w:color w:val="auto"/>
                <w:szCs w:val="21"/>
                <w:u w:val="single"/>
              </w:rPr>
              <w:t xml:space="preserve">    </w:t>
            </w:r>
            <w:r>
              <w:rPr>
                <w:rFonts w:hint="eastAsia" w:ascii="宋体" w:hAnsi="宋体" w:cs="宋体"/>
                <w:color w:val="auto"/>
                <w:szCs w:val="21"/>
              </w:rPr>
              <w:t>人，其中招标人代表</w:t>
            </w:r>
            <w:r>
              <w:rPr>
                <w:rFonts w:hint="eastAsia" w:ascii="宋体" w:hAnsi="宋体" w:cs="宋体"/>
                <w:color w:val="auto"/>
                <w:szCs w:val="21"/>
                <w:u w:val="single"/>
              </w:rPr>
              <w:t xml:space="preserve">    </w:t>
            </w:r>
            <w:r>
              <w:rPr>
                <w:rFonts w:hint="eastAsia" w:ascii="宋体" w:hAnsi="宋体" w:cs="宋体"/>
                <w:color w:val="auto"/>
                <w:szCs w:val="21"/>
              </w:rPr>
              <w:t>人，专家</w:t>
            </w:r>
            <w:r>
              <w:rPr>
                <w:rFonts w:hint="eastAsia" w:ascii="宋体" w:hAnsi="宋体" w:cs="宋体"/>
                <w:color w:val="auto"/>
                <w:szCs w:val="21"/>
                <w:u w:val="single"/>
              </w:rPr>
              <w:t xml:space="preserve">    </w:t>
            </w:r>
            <w:r>
              <w:rPr>
                <w:rFonts w:hint="eastAsia" w:ascii="宋体" w:hAnsi="宋体" w:cs="宋体"/>
                <w:color w:val="auto"/>
                <w:szCs w:val="21"/>
              </w:rPr>
              <w:t>人；</w:t>
            </w:r>
          </w:p>
          <w:p>
            <w:pPr>
              <w:rPr>
                <w:rFonts w:ascii="宋体" w:hAnsi="宋体"/>
                <w:color w:val="auto"/>
              </w:rPr>
            </w:pPr>
            <w:r>
              <w:rPr>
                <w:rFonts w:hint="eastAsia" w:ascii="宋体" w:hAnsi="宋体" w:cs="宋体"/>
                <w:color w:val="auto"/>
                <w:szCs w:val="21"/>
              </w:rPr>
              <w:t>评标专家确定方式：</w:t>
            </w:r>
            <w:r>
              <w:rPr>
                <w:rFonts w:hint="eastAsia" w:ascii="宋体" w:hAnsi="宋体"/>
                <w:color w:val="auto"/>
              </w:rPr>
              <w:t>从广东省综合评标评审专家库中随机抽取产生。</w:t>
            </w:r>
          </w:p>
          <w:p>
            <w:pPr>
              <w:rPr>
                <w:rFonts w:ascii="宋体" w:hAnsi="宋体"/>
                <w:color w:val="auto"/>
              </w:rPr>
            </w:pPr>
            <w:r>
              <w:rPr>
                <w:rFonts w:hint="eastAsia" w:ascii="宋体" w:hAnsi="宋体"/>
                <w:color w:val="auto"/>
              </w:rPr>
              <w:t>专家费由招标人根据《广东省发展改革委关于广东省综合评标评审专家库专家酬劳的管理办法》的规定向专家支付。</w:t>
            </w:r>
          </w:p>
        </w:tc>
      </w:tr>
      <w:tr>
        <w:tblPrEx>
          <w:tblCellMar>
            <w:top w:w="0" w:type="dxa"/>
            <w:left w:w="108" w:type="dxa"/>
            <w:bottom w:w="0" w:type="dxa"/>
            <w:right w:w="108" w:type="dxa"/>
          </w:tblCellMar>
        </w:tblPrEx>
        <w:trPr>
          <w:trHeight w:val="703"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6.3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评标办法</w:t>
            </w:r>
          </w:p>
        </w:tc>
        <w:tc>
          <w:tcPr>
            <w:tcW w:w="5148" w:type="dxa"/>
            <w:tcBorders>
              <w:top w:val="single" w:color="auto" w:sz="4" w:space="0"/>
              <w:left w:val="single" w:color="auto" w:sz="4" w:space="0"/>
              <w:bottom w:val="single" w:color="auto" w:sz="4" w:space="0"/>
              <w:right w:val="single" w:color="auto" w:sz="4" w:space="0"/>
            </w:tcBorders>
            <w:vAlign w:val="center"/>
          </w:tcPr>
          <w:p>
            <w:pPr>
              <w:rPr>
                <w:rFonts w:hAnsi="宋体"/>
                <w:color w:val="auto"/>
              </w:rPr>
            </w:pPr>
            <w:r>
              <w:rPr>
                <w:rFonts w:hint="eastAsia" w:ascii="宋体" w:hAnsi="宋体" w:cs="宋体"/>
                <w:color w:val="auto"/>
                <w:szCs w:val="21"/>
              </w:rPr>
              <w:t>□</w:t>
            </w:r>
            <w:r>
              <w:rPr>
                <w:rFonts w:hAnsi="宋体"/>
                <w:color w:val="auto"/>
              </w:rPr>
              <w:t xml:space="preserve"> </w:t>
            </w:r>
            <w:r>
              <w:rPr>
                <w:rFonts w:hint="eastAsia" w:hAnsi="宋体" w:cs="宋体"/>
                <w:color w:val="auto"/>
                <w:szCs w:val="21"/>
              </w:rPr>
              <w:t>“定性评审”方式</w:t>
            </w:r>
          </w:p>
          <w:p>
            <w:pPr>
              <w:rPr>
                <w:rFonts w:ascii="宋体" w:hAnsi="宋体" w:cs="宋体"/>
                <w:color w:val="auto"/>
                <w:szCs w:val="21"/>
              </w:rPr>
            </w:pPr>
            <w:r>
              <w:rPr>
                <w:rFonts w:hint="eastAsia" w:ascii="宋体" w:hAnsi="宋体" w:cs="宋体"/>
                <w:color w:val="auto"/>
                <w:szCs w:val="21"/>
              </w:rPr>
              <w:t>□ “定量评审”方式，推荐前</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名中标候选人</w:t>
            </w:r>
            <w:r>
              <w:rPr>
                <w:rFonts w:hint="eastAsia" w:ascii="宋体" w:hAnsi="宋体"/>
                <w:color w:val="auto"/>
              </w:rPr>
              <w:t>。</w:t>
            </w:r>
          </w:p>
        </w:tc>
      </w:tr>
      <w:tr>
        <w:tblPrEx>
          <w:tblCellMar>
            <w:top w:w="0" w:type="dxa"/>
            <w:left w:w="108" w:type="dxa"/>
            <w:bottom w:w="0" w:type="dxa"/>
            <w:right w:w="108" w:type="dxa"/>
          </w:tblCellMar>
        </w:tblPrEx>
        <w:trPr>
          <w:trHeight w:val="564"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7.1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定标委员会组成</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定标委员会：</w:t>
            </w:r>
            <w:r>
              <w:rPr>
                <w:rFonts w:hint="eastAsia" w:ascii="宋体" w:hAnsi="宋体" w:cs="宋体"/>
                <w:color w:val="auto"/>
                <w:szCs w:val="21"/>
                <w:u w:val="single"/>
              </w:rPr>
              <w:t xml:space="preserve">    </w:t>
            </w:r>
            <w:r>
              <w:rPr>
                <w:rFonts w:hint="eastAsia" w:ascii="宋体" w:hAnsi="宋体" w:cs="宋体"/>
                <w:color w:val="auto"/>
                <w:szCs w:val="21"/>
              </w:rPr>
              <w:t>人</w:t>
            </w:r>
          </w:p>
        </w:tc>
      </w:tr>
      <w:tr>
        <w:tblPrEx>
          <w:tblCellMar>
            <w:top w:w="0" w:type="dxa"/>
            <w:left w:w="108" w:type="dxa"/>
            <w:bottom w:w="0" w:type="dxa"/>
            <w:right w:w="108" w:type="dxa"/>
          </w:tblCellMar>
        </w:tblPrEx>
        <w:trPr>
          <w:trHeight w:val="90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7.3</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定标方法</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 票决定标法</w:t>
            </w:r>
          </w:p>
          <w:p>
            <w:pPr>
              <w:rPr>
                <w:rFonts w:ascii="宋体" w:hAnsi="宋体" w:cs="宋体"/>
                <w:color w:val="auto"/>
                <w:szCs w:val="21"/>
              </w:rPr>
            </w:pPr>
            <w:r>
              <w:rPr>
                <w:rFonts w:hint="eastAsia" w:ascii="宋体" w:hAnsi="宋体" w:cs="宋体"/>
                <w:color w:val="auto"/>
                <w:szCs w:val="21"/>
              </w:rPr>
              <w:t>□ 集体议事定标法</w:t>
            </w:r>
          </w:p>
          <w:p>
            <w:pPr>
              <w:pStyle w:val="2"/>
              <w:ind w:firstLine="0" w:firstLineChars="0"/>
              <w:rPr>
                <w:rFonts w:ascii="宋体" w:hAnsi="宋体"/>
                <w:color w:val="auto"/>
              </w:rPr>
            </w:pPr>
            <w:r>
              <w:rPr>
                <w:rFonts w:hint="eastAsia" w:ascii="宋体" w:hAnsi="宋体" w:cs="宋体"/>
                <w:color w:val="auto"/>
                <w:szCs w:val="21"/>
              </w:rPr>
              <w:t xml:space="preserve">□ </w:t>
            </w:r>
            <w:r>
              <w:rPr>
                <w:rFonts w:hint="eastAsia" w:ascii="宋体" w:hAnsi="宋体"/>
                <w:color w:val="auto"/>
              </w:rPr>
              <w:t>其他定标方法</w:t>
            </w:r>
          </w:p>
        </w:tc>
      </w:tr>
      <w:tr>
        <w:tblPrEx>
          <w:tblCellMar>
            <w:top w:w="0" w:type="dxa"/>
            <w:left w:w="108" w:type="dxa"/>
            <w:bottom w:w="0" w:type="dxa"/>
            <w:right w:w="108" w:type="dxa"/>
          </w:tblCellMar>
        </w:tblPrEx>
        <w:trPr>
          <w:trHeight w:val="707"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7.4</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定标时间、地点</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ascii="宋体" w:hAnsi="宋体"/>
                <w:color w:val="auto"/>
              </w:rPr>
              <w:t>定标时间：评标结束后开展定标工作。</w:t>
            </w:r>
          </w:p>
          <w:p>
            <w:pPr>
              <w:rPr>
                <w:rFonts w:ascii="宋体" w:hAnsi="宋体" w:cs="宋体"/>
                <w:color w:val="auto"/>
                <w:szCs w:val="21"/>
              </w:rPr>
            </w:pPr>
            <w:r>
              <w:rPr>
                <w:rFonts w:hint="eastAsia" w:ascii="宋体" w:hAnsi="宋体" w:cs="宋体"/>
                <w:color w:val="auto"/>
                <w:szCs w:val="21"/>
              </w:rPr>
              <w:t>定标地点：</w:t>
            </w:r>
            <w:r>
              <w:rPr>
                <w:rFonts w:hint="eastAsia" w:ascii="宋体" w:hAnsi="宋体" w:cs="宋体"/>
                <w:color w:val="auto"/>
                <w:szCs w:val="21"/>
                <w:u w:val="single"/>
              </w:rPr>
              <w:t xml:space="preserve">              </w:t>
            </w:r>
            <w:r>
              <w:rPr>
                <w:rFonts w:hint="eastAsia" w:ascii="宋体" w:hAnsi="宋体" w:cs="宋体"/>
                <w:color w:val="auto"/>
                <w:szCs w:val="21"/>
              </w:rPr>
              <w:t>。</w:t>
            </w:r>
          </w:p>
        </w:tc>
      </w:tr>
      <w:tr>
        <w:tblPrEx>
          <w:tblCellMar>
            <w:top w:w="0" w:type="dxa"/>
            <w:left w:w="108" w:type="dxa"/>
            <w:bottom w:w="0" w:type="dxa"/>
            <w:right w:w="108" w:type="dxa"/>
          </w:tblCellMar>
        </w:tblPrEx>
        <w:trPr>
          <w:trHeight w:val="108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8.1.1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中标候选人公示媒介</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ascii="宋体" w:hAnsi="宋体"/>
                <w:color w:val="auto"/>
              </w:rPr>
              <w:t>惠州市公共资源交易中心网</w:t>
            </w:r>
          </w:p>
          <w:p>
            <w:pPr>
              <w:rPr>
                <w:rFonts w:ascii="宋体" w:hAnsi="宋体"/>
                <w:color w:val="auto"/>
              </w:rPr>
            </w:pPr>
            <w:r>
              <w:rPr>
                <w:rFonts w:hint="eastAsia" w:ascii="宋体" w:hAnsi="宋体"/>
                <w:color w:val="auto"/>
              </w:rPr>
              <w:t>广东省招标投标监管网</w:t>
            </w:r>
          </w:p>
          <w:p>
            <w:pPr>
              <w:rPr>
                <w:rFonts w:ascii="宋体" w:hAnsi="宋体"/>
                <w:color w:val="auto"/>
              </w:rPr>
            </w:pPr>
            <w:r>
              <w:rPr>
                <w:color w:val="auto"/>
              </w:rPr>
              <w:fldChar w:fldCharType="begin"/>
            </w:r>
            <w:r>
              <w:rPr>
                <w:color w:val="auto"/>
              </w:rPr>
              <w:instrText xml:space="preserve"> HYPERLINK "http://www.so.com/link?m=a12dhZyRZTG02lk9ealyiHQjcGlgaENbrvhDR%2F4fc5QzpBJYXiQCD%2Bsq39%2FktzHrLp0eGDV4s9Bu5o8pTNaSZLbyiMW%2Fa%2FTxfzlewjoMqs%2B02vOm3w%2F%2Fm1zsxtCAa3KzlznxhkTZiWUKJktA8IEv7TbI%2FG7VJKquaolYIfjFNJAkoqUmCfzAg%2FpQ%2BQlkxEaQPT6UGGNgqmoihR%2Ffet0qZqMj7nWXw2GHh" \t "_blank" </w:instrText>
            </w:r>
            <w:r>
              <w:rPr>
                <w:color w:val="auto"/>
              </w:rPr>
              <w:fldChar w:fldCharType="separate"/>
            </w:r>
            <w:r>
              <w:rPr>
                <w:rFonts w:hint="eastAsia" w:ascii="宋体" w:hAnsi="宋体"/>
                <w:color w:val="auto"/>
              </w:rPr>
              <w:t>中国招标投标公共服务平台</w:t>
            </w:r>
            <w:r>
              <w:rPr>
                <w:rFonts w:hint="eastAsia" w:ascii="宋体" w:hAnsi="宋体"/>
                <w:color w:val="auto"/>
              </w:rPr>
              <w:fldChar w:fldCharType="end"/>
            </w:r>
          </w:p>
        </w:tc>
      </w:tr>
      <w:tr>
        <w:tblPrEx>
          <w:tblCellMar>
            <w:top w:w="0" w:type="dxa"/>
            <w:left w:w="108" w:type="dxa"/>
            <w:bottom w:w="0" w:type="dxa"/>
            <w:right w:w="108" w:type="dxa"/>
          </w:tblCellMar>
        </w:tblPrEx>
        <w:trPr>
          <w:trHeight w:val="421"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2</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中标结果公告媒介</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惠州市公共资源交易中心网</w:t>
            </w:r>
          </w:p>
          <w:p>
            <w:pPr>
              <w:rPr>
                <w:rFonts w:ascii="宋体" w:hAnsi="宋体" w:cs="宋体"/>
                <w:color w:val="auto"/>
                <w:szCs w:val="21"/>
              </w:rPr>
            </w:pPr>
            <w:r>
              <w:rPr>
                <w:rFonts w:hint="eastAsia" w:ascii="宋体" w:hAnsi="宋体" w:cs="宋体"/>
                <w:color w:val="auto"/>
                <w:szCs w:val="21"/>
              </w:rPr>
              <w:t>广东省招标投标监管网</w:t>
            </w:r>
          </w:p>
          <w:p>
            <w:pPr>
              <w:rPr>
                <w:rFonts w:ascii="宋体" w:hAnsi="宋体" w:cs="宋体"/>
                <w:color w:val="auto"/>
                <w:szCs w:val="21"/>
              </w:rPr>
            </w:pPr>
            <w:r>
              <w:rPr>
                <w:color w:val="auto"/>
              </w:rPr>
              <w:fldChar w:fldCharType="begin"/>
            </w:r>
            <w:r>
              <w:rPr>
                <w:color w:val="auto"/>
              </w:rPr>
              <w:instrText xml:space="preserve"> HYPERLINK "http://www.so.com/link?m=a12dhZyRZTG02lk9ealyiHQjcGlgaENbrvhDR%2F4fc5QzpBJYXiQCD%2Bsq39%2FktzHrLp0eGDV4s9Bu5o8pTNaSZLbyiMW%2Fa%2FTxfzlewjoMqs%2B02vOm3w%2F%2Fm1zsxtCAa3KzlznxhkTZiWUKJktA8IEv7TbI%2FG7VJKquaolYIfjFNJAkoqUmCfzAg%2FpQ%2BQlkxEaQPT6UGGNgqmoihR%2Ffet0qZqMj7nWXw2GHh" \t "_blank" </w:instrText>
            </w:r>
            <w:r>
              <w:rPr>
                <w:color w:val="auto"/>
              </w:rPr>
              <w:fldChar w:fldCharType="separate"/>
            </w:r>
            <w:r>
              <w:rPr>
                <w:rFonts w:hint="eastAsia" w:ascii="宋体" w:hAnsi="宋体" w:cs="宋体"/>
                <w:color w:val="auto"/>
                <w:szCs w:val="21"/>
              </w:rPr>
              <w:t>中国招标投标公共服务平台</w:t>
            </w:r>
            <w:r>
              <w:rPr>
                <w:rFonts w:hint="eastAsia" w:ascii="宋体" w:hAnsi="宋体" w:cs="宋体"/>
                <w:color w:val="auto"/>
                <w:szCs w:val="21"/>
              </w:rPr>
              <w:fldChar w:fldCharType="end"/>
            </w:r>
          </w:p>
        </w:tc>
      </w:tr>
      <w:tr>
        <w:tblPrEx>
          <w:tblCellMar>
            <w:top w:w="0" w:type="dxa"/>
            <w:left w:w="108" w:type="dxa"/>
            <w:bottom w:w="0" w:type="dxa"/>
            <w:right w:w="108" w:type="dxa"/>
          </w:tblCellMar>
        </w:tblPrEx>
        <w:trPr>
          <w:trHeight w:val="93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s="宋体"/>
                <w:color w:val="auto"/>
                <w:szCs w:val="21"/>
              </w:rPr>
              <w:t>8.3.1</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履约担保</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履约担保的形式：现金或银行保函或保证保险等</w:t>
            </w:r>
          </w:p>
          <w:p>
            <w:pPr>
              <w:rPr>
                <w:rFonts w:ascii="宋体" w:hAnsi="宋体" w:cs="宋体"/>
                <w:color w:val="auto"/>
                <w:szCs w:val="21"/>
              </w:rPr>
            </w:pPr>
            <w:r>
              <w:rPr>
                <w:rFonts w:hint="eastAsia" w:ascii="宋体" w:hAnsi="宋体" w:cs="宋体"/>
                <w:color w:val="auto"/>
                <w:szCs w:val="21"/>
              </w:rPr>
              <w:t>履约担保的金额：</w:t>
            </w:r>
          </w:p>
        </w:tc>
      </w:tr>
      <w:tr>
        <w:tblPrEx>
          <w:tblCellMar>
            <w:top w:w="0" w:type="dxa"/>
            <w:left w:w="108" w:type="dxa"/>
            <w:bottom w:w="0" w:type="dxa"/>
            <w:right w:w="108" w:type="dxa"/>
          </w:tblCellMar>
        </w:tblPrEx>
        <w:trPr>
          <w:trHeight w:val="119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10</w:t>
            </w:r>
          </w:p>
        </w:tc>
        <w:tc>
          <w:tcPr>
            <w:tcW w:w="29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电子招标投标</w:t>
            </w:r>
          </w:p>
        </w:tc>
        <w:tc>
          <w:tcPr>
            <w:tcW w:w="5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 否</w:t>
            </w:r>
          </w:p>
          <w:p>
            <w:pPr>
              <w:rPr>
                <w:rFonts w:ascii="宋体" w:hAnsi="宋体" w:cs="宋体"/>
                <w:color w:val="auto"/>
                <w:szCs w:val="21"/>
              </w:rPr>
            </w:pPr>
            <w:r>
              <w:rPr>
                <w:rFonts w:hint="eastAsia" w:ascii="宋体" w:hAnsi="宋体" w:cs="宋体"/>
                <w:color w:val="auto"/>
                <w:szCs w:val="21"/>
              </w:rPr>
              <w:t>□ 是，具体要求：按照《惠州市政务服务数据管理局 惠州市公共资源交易中心公共资源电子交易规则》（惠市政数〔2022〕3号）有关规定执行。具体的操作流程见惠州市公共资源交易中心发布的《惠州市公共资源交易中心建设工程招投标业务系统投标人操作手册》。</w:t>
            </w:r>
          </w:p>
        </w:tc>
      </w:tr>
      <w:tr>
        <w:tblPrEx>
          <w:tblCellMar>
            <w:top w:w="0" w:type="dxa"/>
            <w:left w:w="108" w:type="dxa"/>
            <w:bottom w:w="0" w:type="dxa"/>
            <w:right w:w="108" w:type="dxa"/>
          </w:tblCellMar>
        </w:tblPrEx>
        <w:trPr>
          <w:trHeight w:val="459" w:hRule="atLeast"/>
        </w:trPr>
        <w:tc>
          <w:tcPr>
            <w:tcW w:w="90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需要补充的其他内容</w:t>
            </w:r>
          </w:p>
        </w:tc>
      </w:tr>
      <w:tr>
        <w:tblPrEx>
          <w:tblCellMar>
            <w:top w:w="0" w:type="dxa"/>
            <w:left w:w="108" w:type="dxa"/>
            <w:bottom w:w="0" w:type="dxa"/>
            <w:right w:w="108" w:type="dxa"/>
          </w:tblCellMar>
        </w:tblPrEx>
        <w:trPr>
          <w:trHeight w:val="963"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Cs/>
                <w:color w:val="auto"/>
                <w:szCs w:val="21"/>
              </w:rPr>
              <w:t>10.1</w:t>
            </w:r>
          </w:p>
        </w:tc>
        <w:tc>
          <w:tcPr>
            <w:tcW w:w="8086"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cs="宋体"/>
                <w:color w:val="auto"/>
                <w:szCs w:val="21"/>
              </w:rPr>
            </w:pPr>
            <w:r>
              <w:rPr>
                <w:rFonts w:hint="eastAsia" w:ascii="宋体" w:hAnsi="宋体" w:cs="宋体"/>
                <w:color w:val="auto"/>
                <w:szCs w:val="21"/>
              </w:rPr>
              <w:t>投标人在投标时须诚信参与投标，凡出现以下情形之一的，经行政监管部门认定后，一律视为不诚信行为，列入实施联合惩戒：</w:t>
            </w:r>
          </w:p>
          <w:p>
            <w:pPr>
              <w:ind w:firstLine="420" w:firstLineChars="200"/>
              <w:jc w:val="left"/>
              <w:rPr>
                <w:rFonts w:ascii="宋体" w:hAnsi="宋体" w:cs="宋体"/>
                <w:color w:val="auto"/>
                <w:szCs w:val="21"/>
              </w:rPr>
            </w:pPr>
            <w:r>
              <w:rPr>
                <w:rFonts w:hint="eastAsia" w:ascii="宋体" w:hAnsi="宋体" w:cs="宋体"/>
                <w:color w:val="auto"/>
                <w:szCs w:val="21"/>
              </w:rPr>
              <w:t>（1）证件失效或被暂扣、伪造虚假证件、冒名顶替参加会议；</w:t>
            </w:r>
          </w:p>
          <w:p>
            <w:pPr>
              <w:ind w:firstLine="420" w:firstLineChars="200"/>
              <w:jc w:val="left"/>
              <w:rPr>
                <w:rFonts w:ascii="宋体" w:hAnsi="宋体" w:cs="宋体"/>
                <w:color w:val="auto"/>
                <w:szCs w:val="21"/>
              </w:rPr>
            </w:pPr>
            <w:r>
              <w:rPr>
                <w:rFonts w:hint="eastAsia" w:ascii="宋体" w:hAnsi="宋体" w:cs="宋体"/>
                <w:color w:val="auto"/>
                <w:szCs w:val="21"/>
              </w:rPr>
              <w:t>（2）拟派项目负责人同时</w:t>
            </w:r>
            <w:r>
              <w:rPr>
                <w:rFonts w:hint="eastAsia" w:ascii="宋体" w:hAnsi="宋体" w:cs="宋体"/>
                <w:bCs/>
                <w:color w:val="auto"/>
                <w:szCs w:val="21"/>
                <w:lang w:val="en"/>
              </w:rPr>
              <w:t>兼任其他投标项目或有在建项目</w:t>
            </w:r>
            <w:r>
              <w:rPr>
                <w:rFonts w:hint="eastAsia" w:ascii="宋体" w:hAnsi="宋体" w:cs="宋体"/>
                <w:color w:val="auto"/>
                <w:szCs w:val="21"/>
              </w:rPr>
              <w:t>；</w:t>
            </w:r>
          </w:p>
          <w:p>
            <w:pPr>
              <w:ind w:firstLine="420" w:firstLineChars="200"/>
              <w:jc w:val="left"/>
              <w:rPr>
                <w:rFonts w:ascii="宋体" w:hAnsi="宋体" w:cs="宋体"/>
                <w:color w:val="auto"/>
                <w:szCs w:val="21"/>
              </w:rPr>
            </w:pPr>
            <w:r>
              <w:rPr>
                <w:rFonts w:hint="eastAsia" w:ascii="宋体" w:hAnsi="宋体" w:cs="宋体"/>
                <w:color w:val="auto"/>
                <w:szCs w:val="21"/>
              </w:rPr>
              <w:t>（3）不同投标人委托同一单位或者个人办理投标事宜等情形；</w:t>
            </w:r>
          </w:p>
          <w:p>
            <w:pPr>
              <w:ind w:firstLine="420" w:firstLineChars="200"/>
              <w:jc w:val="left"/>
              <w:rPr>
                <w:rFonts w:ascii="宋体" w:hAnsi="宋体" w:cs="宋体"/>
                <w:color w:val="auto"/>
                <w:szCs w:val="21"/>
              </w:rPr>
            </w:pPr>
            <w:r>
              <w:rPr>
                <w:rFonts w:hint="eastAsia" w:ascii="宋体" w:hAnsi="宋体" w:cs="宋体"/>
                <w:color w:val="auto"/>
                <w:szCs w:val="21"/>
              </w:rPr>
              <w:t>（4）存在被责令停产停业、暂扣或者吊销许可证、暂扣或者吊销执照的情况；</w:t>
            </w:r>
          </w:p>
          <w:p>
            <w:pPr>
              <w:ind w:firstLine="420" w:firstLineChars="200"/>
              <w:jc w:val="left"/>
              <w:rPr>
                <w:rFonts w:ascii="宋体" w:hAnsi="宋体" w:cs="宋体"/>
                <w:color w:val="auto"/>
                <w:szCs w:val="21"/>
              </w:rPr>
            </w:pPr>
            <w:r>
              <w:rPr>
                <w:rFonts w:hint="eastAsia" w:ascii="宋体" w:hAnsi="宋体" w:cs="宋体"/>
                <w:color w:val="auto"/>
                <w:szCs w:val="21"/>
              </w:rPr>
              <w:t>（5）存在进入清算程序，或被宣告破产，或其他丧失履约能力的情形；</w:t>
            </w:r>
          </w:p>
          <w:p>
            <w:pPr>
              <w:ind w:firstLine="420" w:firstLineChars="200"/>
              <w:jc w:val="left"/>
              <w:rPr>
                <w:rFonts w:ascii="宋体" w:hAnsi="宋体" w:cs="宋体"/>
                <w:color w:val="auto"/>
                <w:szCs w:val="21"/>
              </w:rPr>
            </w:pPr>
            <w:r>
              <w:rPr>
                <w:rFonts w:hint="eastAsia" w:ascii="宋体" w:hAnsi="宋体" w:cs="宋体"/>
                <w:color w:val="auto"/>
                <w:szCs w:val="21"/>
              </w:rPr>
              <w:t>（6）存在在最近三年内发生重大施工质量问题（以相关行业主管部门的行政处罚决定或司法机关出具的有关法律文书为准）；</w:t>
            </w:r>
          </w:p>
          <w:p>
            <w:pPr>
              <w:ind w:firstLine="420" w:firstLineChars="200"/>
              <w:jc w:val="left"/>
              <w:rPr>
                <w:rFonts w:ascii="宋体" w:hAnsi="宋体" w:cs="宋体"/>
                <w:color w:val="auto"/>
                <w:szCs w:val="21"/>
              </w:rPr>
            </w:pPr>
            <w:r>
              <w:rPr>
                <w:rFonts w:hint="eastAsia" w:ascii="宋体" w:hAnsi="宋体" w:cs="宋体"/>
                <w:color w:val="auto"/>
                <w:szCs w:val="21"/>
              </w:rPr>
              <w:t>（7）在中国执行信息公开网（</w:t>
            </w:r>
            <w:r>
              <w:rPr>
                <w:rFonts w:ascii="宋体" w:hAnsi="宋体" w:cs="宋体"/>
                <w:color w:val="auto"/>
                <w:szCs w:val="21"/>
              </w:rPr>
              <w:t>http://zxgk.court.gov.cn/shixin/</w:t>
            </w:r>
            <w:r>
              <w:rPr>
                <w:rFonts w:hint="eastAsia" w:ascii="宋体" w:hAnsi="宋体" w:cs="宋体"/>
                <w:color w:val="auto"/>
                <w:szCs w:val="21"/>
              </w:rPr>
              <w:t>）被列入失信被执行人、信用中国网站（www.creditchina.gov.cn）被列入重大税收违法失信主体以及在国家企业信用信息公示系统（http://www.gsxt.gov.cn/index.html）被列入严重违法失信名单（黑名单）的。</w:t>
            </w:r>
          </w:p>
        </w:tc>
      </w:tr>
      <w:tr>
        <w:tblPrEx>
          <w:tblCellMar>
            <w:top w:w="0" w:type="dxa"/>
            <w:left w:w="108" w:type="dxa"/>
            <w:bottom w:w="0" w:type="dxa"/>
            <w:right w:w="108" w:type="dxa"/>
          </w:tblCellMar>
        </w:tblPrEx>
        <w:trPr>
          <w:trHeight w:val="76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10.2</w:t>
            </w:r>
          </w:p>
        </w:tc>
        <w:tc>
          <w:tcPr>
            <w:tcW w:w="8086" w:type="dxa"/>
            <w:gridSpan w:val="2"/>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firstLine="422"/>
              <w:rPr>
                <w:rFonts w:ascii="宋体" w:hAnsi="宋体" w:cs="宋体"/>
                <w:b/>
                <w:bCs/>
                <w:color w:val="auto"/>
                <w:szCs w:val="21"/>
              </w:rPr>
            </w:pPr>
            <w:r>
              <w:rPr>
                <w:rFonts w:hint="eastAsia" w:ascii="宋体" w:hAnsi="宋体" w:cs="宋体"/>
                <w:b/>
                <w:bCs/>
                <w:color w:val="auto"/>
                <w:szCs w:val="21"/>
              </w:rPr>
              <w:t>其他事项特别提示：</w:t>
            </w:r>
          </w:p>
          <w:p>
            <w:pPr>
              <w:pStyle w:val="2"/>
              <w:adjustRightInd w:val="0"/>
              <w:snapToGrid w:val="0"/>
              <w:rPr>
                <w:rFonts w:ascii="宋体" w:hAnsi="宋体" w:cs="宋体"/>
                <w:color w:val="auto"/>
                <w:szCs w:val="21"/>
              </w:rPr>
            </w:pPr>
            <w:r>
              <w:rPr>
                <w:rFonts w:hint="eastAsia" w:ascii="宋体" w:hAnsi="宋体" w:cs="宋体"/>
                <w:color w:val="auto"/>
                <w:szCs w:val="21"/>
              </w:rPr>
              <w:t>1.本招标文件中第九章“投标文件格式”格式落款处的日期填写招标公告发出之日起至投标（网上报价）截止日期的任一日期均可。</w:t>
            </w:r>
          </w:p>
          <w:p>
            <w:pPr>
              <w:pStyle w:val="2"/>
              <w:adjustRightInd w:val="0"/>
              <w:snapToGrid w:val="0"/>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根据《广东省实施〈中华人民共和国招标投标法〉办法》第十五条的规定：投标人拟派出的项目负责人、技术负责人应当在投标文件中签字确认。投标人须为本项目配备技术负责人1人，应满足项目报建的资格条件，必须是惠州市建筑业信用信息平台录入的人员，且具有工程类中级或以上技术职称并满足项目报建要求。</w:t>
            </w:r>
          </w:p>
          <w:p>
            <w:pPr>
              <w:pStyle w:val="2"/>
              <w:adjustRightInd w:val="0"/>
              <w:snapToGrid w:val="0"/>
              <w:rPr>
                <w:rFonts w:ascii="宋体" w:hAnsi="宋体" w:cs="宋体"/>
                <w:color w:val="auto"/>
                <w:szCs w:val="21"/>
              </w:rPr>
            </w:pPr>
            <w:r>
              <w:rPr>
                <w:rFonts w:hint="eastAsia" w:ascii="宋体" w:hAnsi="宋体" w:cs="宋体"/>
                <w:color w:val="auto"/>
                <w:szCs w:val="21"/>
              </w:rPr>
              <w:t>3.关于安全生产许可证：投标人须按第九章“投标文件格式”要求提交《信用承诺书》，并作为响应条件资料。在本项目招投标期限（是指</w:t>
            </w:r>
            <w:r>
              <w:rPr>
                <w:rFonts w:hint="eastAsia" w:ascii="宋体" w:hAnsi="宋体" w:cs="宋体"/>
                <w:bCs/>
                <w:color w:val="auto"/>
                <w:szCs w:val="21"/>
              </w:rPr>
              <w:t>参与项目投标之日起至投标截止前</w:t>
            </w:r>
            <w:r>
              <w:rPr>
                <w:rFonts w:hint="eastAsia" w:ascii="宋体" w:hAnsi="宋体" w:cs="宋体"/>
                <w:color w:val="auto"/>
                <w:szCs w:val="21"/>
              </w:rPr>
              <w:t>），若投标人出现安全生产许可证失效或被暂扣或伪造虚假证件的，若有投标人或其他利害关系人投诉举报或经招标人、招标代理机构查实并经行政主管部门确认属实的，招标人有权取消其中标资格，同时将该投标人列入不诚信记录和进行处罚。</w:t>
            </w:r>
          </w:p>
          <w:p>
            <w:pPr>
              <w:pStyle w:val="2"/>
              <w:adjustRightInd w:val="0"/>
              <w:snapToGrid w:val="0"/>
              <w:rPr>
                <w:rFonts w:ascii="宋体" w:hAnsi="宋体" w:cs="宋体"/>
                <w:color w:val="auto"/>
                <w:szCs w:val="21"/>
              </w:rPr>
            </w:pPr>
            <w:r>
              <w:rPr>
                <w:rFonts w:hint="eastAsia" w:ascii="宋体" w:hAnsi="宋体" w:cs="宋体"/>
                <w:color w:val="auto"/>
              </w:rPr>
              <w:t>4.为了缩短投标文件特征码检测时间，不建议选择批量电子签章和电子签名的方式，具体由招标人在招标文件中约定。</w:t>
            </w:r>
          </w:p>
        </w:tc>
      </w:tr>
      <w:tr>
        <w:tblPrEx>
          <w:tblCellMar>
            <w:top w:w="0" w:type="dxa"/>
            <w:left w:w="108" w:type="dxa"/>
            <w:bottom w:w="0" w:type="dxa"/>
            <w:right w:w="108" w:type="dxa"/>
          </w:tblCellMar>
        </w:tblPrEx>
        <w:trPr>
          <w:trHeight w:val="469"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8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r>
    </w:tbl>
    <w:p>
      <w:pPr>
        <w:spacing w:line="480" w:lineRule="auto"/>
        <w:ind w:firstLine="540" w:firstLineChars="224"/>
        <w:rPr>
          <w:rFonts w:ascii="宋体" w:hAnsi="宋体" w:cs="宋体"/>
          <w:b/>
          <w:color w:val="auto"/>
          <w:sz w:val="24"/>
        </w:rPr>
      </w:pPr>
      <w:bookmarkStart w:id="224" w:name="_Toc246996918"/>
      <w:bookmarkStart w:id="225" w:name="_Toc152042305"/>
      <w:bookmarkStart w:id="226" w:name="_Toc246996175"/>
      <w:bookmarkStart w:id="227" w:name="_Toc152045529"/>
      <w:bookmarkStart w:id="228" w:name="_Toc247085689"/>
      <w:bookmarkStart w:id="229" w:name="_Toc144974497"/>
      <w:bookmarkStart w:id="230" w:name="_Toc179632546"/>
      <w:bookmarkStart w:id="231" w:name="_Toc4078307"/>
    </w:p>
    <w:p>
      <w:pPr>
        <w:widowControl/>
        <w:jc w:val="left"/>
        <w:rPr>
          <w:rFonts w:ascii="宋体" w:hAnsi="宋体" w:cs="宋体"/>
          <w:b/>
          <w:bCs/>
          <w:color w:val="auto"/>
          <w:sz w:val="24"/>
        </w:rPr>
      </w:pPr>
      <w:bookmarkStart w:id="232" w:name="_Toc14191"/>
      <w:bookmarkStart w:id="233" w:name="_Toc13233"/>
      <w:bookmarkStart w:id="234" w:name="_Toc119872476"/>
      <w:bookmarkStart w:id="235" w:name="_Toc2537"/>
      <w:bookmarkStart w:id="236" w:name="_Toc9834"/>
      <w:bookmarkStart w:id="237" w:name="_Toc24595"/>
      <w:bookmarkStart w:id="238" w:name="_Toc124612910"/>
      <w:bookmarkStart w:id="239" w:name="_Toc9305"/>
      <w:r>
        <w:rPr>
          <w:color w:val="auto"/>
        </w:rPr>
        <w:br w:type="page"/>
      </w:r>
    </w:p>
    <w:p>
      <w:pPr>
        <w:pStyle w:val="4"/>
        <w:ind w:firstLine="482"/>
        <w:rPr>
          <w:color w:val="auto"/>
        </w:rPr>
      </w:pPr>
      <w:bookmarkStart w:id="240" w:name="_Toc28229"/>
      <w:r>
        <w:rPr>
          <w:color w:val="auto"/>
        </w:rPr>
        <w:t xml:space="preserve">1. </w:t>
      </w:r>
      <w:r>
        <w:rPr>
          <w:rFonts w:hint="eastAsia"/>
          <w:color w:val="auto"/>
        </w:rPr>
        <w:t>总则</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5"/>
        <w:ind w:firstLine="482"/>
        <w:rPr>
          <w:color w:val="auto"/>
        </w:rPr>
      </w:pPr>
      <w:bookmarkStart w:id="241" w:name="_Toc556"/>
      <w:bookmarkStart w:id="242" w:name="_Toc17182"/>
      <w:bookmarkStart w:id="243" w:name="_Toc4078308"/>
      <w:bookmarkStart w:id="244" w:name="_Toc32150"/>
      <w:bookmarkStart w:id="245" w:name="_Toc144974498"/>
      <w:bookmarkStart w:id="246" w:name="_Toc152045530"/>
      <w:bookmarkStart w:id="247" w:name="_Toc246996919"/>
      <w:bookmarkStart w:id="248" w:name="_Toc7508"/>
      <w:bookmarkStart w:id="249" w:name="_Toc246996176"/>
      <w:bookmarkStart w:id="250" w:name="_Toc247085690"/>
      <w:bookmarkStart w:id="251" w:name="_Toc119872477"/>
      <w:bookmarkStart w:id="252" w:name="_Toc152042306"/>
      <w:bookmarkStart w:id="253" w:name="_Toc13294"/>
      <w:bookmarkStart w:id="254" w:name="_Toc19841"/>
      <w:bookmarkStart w:id="255" w:name="_Toc179632547"/>
      <w:bookmarkStart w:id="256" w:name="_Toc5361"/>
      <w:bookmarkStart w:id="257" w:name="_Toc124612911"/>
      <w:r>
        <w:rPr>
          <w:rFonts w:hint="eastAsia"/>
          <w:color w:val="auto"/>
        </w:rPr>
        <w:t>1.1 项目概况</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1.1.1根据《中华人民共和国招标投标法》《中华人民共和国招标投标法实施条例》《广东省实施〈中华人民共和国招标投标法〉办法》等有关法律法规和规章的规定，本招标项目已具备招标条件，现对本项目施工进行招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1.1.2 本招标项目招标人/招标代理机构：见投标须知前附表。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1.1.3 本招标项目交易平台：见投标须知前附表。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1.1.4 本招标项目名称：见投标须知前附表。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1.1.5 本招标项目建设地点：见投标须知前附表。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1.1.6 本招标项目建设规模：见投标须知前附表。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1.1.7 本招标项目承包方式：见投标须知前附表。</w:t>
      </w:r>
    </w:p>
    <w:p>
      <w:pPr>
        <w:pStyle w:val="5"/>
        <w:ind w:firstLine="482"/>
        <w:rPr>
          <w:color w:val="auto"/>
        </w:rPr>
      </w:pPr>
      <w:bookmarkStart w:id="258" w:name="_Toc2529"/>
      <w:bookmarkStart w:id="259" w:name="_Toc179632548"/>
      <w:bookmarkStart w:id="260" w:name="_Toc22068"/>
      <w:bookmarkStart w:id="261" w:name="_Toc124612912"/>
      <w:bookmarkStart w:id="262" w:name="_Toc15422"/>
      <w:bookmarkStart w:id="263" w:name="_Toc119872478"/>
      <w:bookmarkStart w:id="264" w:name="_Toc8359"/>
      <w:bookmarkStart w:id="265" w:name="_Toc144974499"/>
      <w:bookmarkStart w:id="266" w:name="_Toc246996920"/>
      <w:bookmarkStart w:id="267" w:name="_Toc247085691"/>
      <w:bookmarkStart w:id="268" w:name="_Toc9495"/>
      <w:bookmarkStart w:id="269" w:name="_Toc152042307"/>
      <w:bookmarkStart w:id="270" w:name="_Toc25171"/>
      <w:bookmarkStart w:id="271" w:name="_Toc4078309"/>
      <w:bookmarkStart w:id="272" w:name="_Toc246996177"/>
      <w:bookmarkStart w:id="273" w:name="_Toc26643"/>
      <w:bookmarkStart w:id="274" w:name="_Toc152045531"/>
      <w:r>
        <w:rPr>
          <w:rFonts w:hint="eastAsia"/>
          <w:color w:val="auto"/>
        </w:rPr>
        <w:t>1.2 资金来源和落实情况</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1.2.1 本招标项目的资金来源及出资比例：见投标须知前附表。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1.2.2 本招标项目的资金落实情况：见投标须知前附表。</w:t>
      </w:r>
    </w:p>
    <w:p>
      <w:pPr>
        <w:pStyle w:val="5"/>
        <w:ind w:firstLine="482"/>
        <w:rPr>
          <w:color w:val="auto"/>
        </w:rPr>
      </w:pPr>
      <w:bookmarkStart w:id="275" w:name="_Toc246996178"/>
      <w:bookmarkStart w:id="276" w:name="_Toc124612913"/>
      <w:bookmarkStart w:id="277" w:name="_Toc246996921"/>
      <w:bookmarkStart w:id="278" w:name="_Toc3842"/>
      <w:bookmarkStart w:id="279" w:name="_Toc152042308"/>
      <w:bookmarkStart w:id="280" w:name="_Toc9943"/>
      <w:bookmarkStart w:id="281" w:name="_Toc119872479"/>
      <w:bookmarkStart w:id="282" w:name="_Toc774"/>
      <w:bookmarkStart w:id="283" w:name="_Toc144974500"/>
      <w:bookmarkStart w:id="284" w:name="_Toc31915"/>
      <w:bookmarkStart w:id="285" w:name="_Toc247085692"/>
      <w:bookmarkStart w:id="286" w:name="_Toc4900"/>
      <w:bookmarkStart w:id="287" w:name="_Toc179632549"/>
      <w:bookmarkStart w:id="288" w:name="_Toc8273"/>
      <w:bookmarkStart w:id="289" w:name="_Toc4078310"/>
      <w:bookmarkStart w:id="290" w:name="_Toc152045532"/>
      <w:bookmarkStart w:id="291" w:name="_Toc21366"/>
      <w:r>
        <w:rPr>
          <w:rFonts w:hint="eastAsia"/>
          <w:color w:val="auto"/>
        </w:rPr>
        <w:t>1.3 招标范围</w:t>
      </w:r>
      <w:r>
        <w:rPr>
          <w:rFonts w:hint="eastAsia"/>
          <w:color w:val="auto"/>
          <w:szCs w:val="21"/>
        </w:rPr>
        <w:t>及工作内容</w:t>
      </w:r>
      <w:r>
        <w:rPr>
          <w:rFonts w:hint="eastAsia"/>
          <w:color w:val="auto"/>
        </w:rPr>
        <w:t>、计划工期、质量要求</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1.3.1 本次招标范围及工作内容：见投标须知前附表。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1.3.2 本招标项目的计划工期：见投标须知前附表。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1.3.3 本招标项目的质量要求：见投标须知前附表。</w:t>
      </w:r>
    </w:p>
    <w:p>
      <w:pPr>
        <w:pStyle w:val="5"/>
        <w:ind w:firstLine="482"/>
        <w:rPr>
          <w:color w:val="auto"/>
        </w:rPr>
      </w:pPr>
      <w:bookmarkStart w:id="292" w:name="_Toc119872480"/>
      <w:bookmarkStart w:id="293" w:name="_Toc152042310"/>
      <w:bookmarkStart w:id="294" w:name="_Toc124612914"/>
      <w:bookmarkStart w:id="295" w:name="_Toc4078311"/>
      <w:bookmarkStart w:id="296" w:name="_Toc3494"/>
      <w:bookmarkStart w:id="297" w:name="_Toc12710"/>
      <w:bookmarkStart w:id="298" w:name="_Toc247085693"/>
      <w:bookmarkStart w:id="299" w:name="_Toc246996179"/>
      <w:bookmarkStart w:id="300" w:name="_Toc246996922"/>
      <w:bookmarkStart w:id="301" w:name="_Toc25599"/>
      <w:bookmarkStart w:id="302" w:name="_Toc23058"/>
      <w:bookmarkStart w:id="303" w:name="_Toc152045534"/>
      <w:bookmarkStart w:id="304" w:name="_Toc5235"/>
      <w:bookmarkStart w:id="305" w:name="_Toc5335"/>
      <w:bookmarkStart w:id="306" w:name="_Toc179632551"/>
      <w:bookmarkStart w:id="307" w:name="_Toc144974502"/>
      <w:bookmarkStart w:id="308" w:name="_Toc4844"/>
      <w:r>
        <w:rPr>
          <w:rFonts w:hint="eastAsia"/>
          <w:color w:val="auto"/>
        </w:rPr>
        <w:t>1.4 投标人资格要求</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1.4.1 投标人应具备承担本项目施工的资质条件、能力和信誉。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（1）资质条件：见投标须知前附表；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s="宋体"/>
          <w:color w:val="auto"/>
          <w:sz w:val="24"/>
        </w:rPr>
        <w:t>最基本的管理班子人员要求</w:t>
      </w:r>
      <w:r>
        <w:rPr>
          <w:rFonts w:hint="eastAsia" w:ascii="宋体" w:hAnsi="宋体"/>
          <w:color w:val="auto"/>
          <w:sz w:val="24"/>
        </w:rPr>
        <w:t>：见投标须知前附表；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（3）业绩要求：见投标须知前附表；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（4）其他要求：见投标须知前附表。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1.4.2 投标人为联合体投标的，除应符合本章第1.4.1项和投标须知前附表的要求外，还应遵守以下规定：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（1）联合体各方应按招标文件提供的格式签订联合体协议书，明确联合体牵头人和各方权利义务；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（2）由同一专业的单位组成的联合体，按照资质等级较低的单位确定资质等级；</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（3）联合体各方不得再以自己名义单独或参加其他联合体在本招标项目中投标。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1.4.3投标人不得存在下列情形之一：</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（1）为招标人不具有独立法人资格的附属机构（单位）；</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（2）为本招标项目前期准备提供设计或咨询服务的；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（3）为本招标项目的监理人；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（4）为本招标项目的代建人；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（5）为本招标项目提供招标代理服务的；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（6）与本招标项目的监理人或代建人或招标代理机构同为一个法定代表人的；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（7）与本招标项目的监理人或代建人或招标代理机构相互控股或参股的；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（8）与本招标项目的监理人或代建人或招标代理机构相互任职或工作的；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（9）被责令停业的；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（10）被暂停或取消投标资格的；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（11）财产被接管或冻结的；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（12）在最近三年内有骗取中标或严重违约或重大工程质量问题的；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13）在中国执行信息公开网（http://zxgk.court.gov.cn/shixin/）被列入失信被执行人、信用中国网站（www.creditchina.gov.cn）被列入重大税收违法失信主体以及在国家企业信用信息公示系统（http://www.gsxt.gov.cn/index.html）被列入严重违法失信名单（黑名单）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（14）法律法规或投标须知前附表规定的其他情形。</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1.4.4 单位负责人为同一人或者存在控股、管理关系的不同单位，不得同时参加本招标项目投标。</w:t>
      </w:r>
    </w:p>
    <w:p>
      <w:pPr>
        <w:pStyle w:val="5"/>
        <w:ind w:firstLine="482"/>
        <w:rPr>
          <w:color w:val="auto"/>
        </w:rPr>
      </w:pPr>
      <w:bookmarkStart w:id="309" w:name="_Toc29721"/>
      <w:bookmarkStart w:id="310" w:name="_Toc152042311"/>
      <w:bookmarkStart w:id="311" w:name="_Toc247085694"/>
      <w:bookmarkStart w:id="312" w:name="_Toc179632552"/>
      <w:bookmarkStart w:id="313" w:name="_Toc16068"/>
      <w:bookmarkStart w:id="314" w:name="_Toc14088"/>
      <w:bookmarkStart w:id="315" w:name="_Toc152045535"/>
      <w:bookmarkStart w:id="316" w:name="_Toc144974503"/>
      <w:bookmarkStart w:id="317" w:name="_Toc119872481"/>
      <w:bookmarkStart w:id="318" w:name="_Toc124612915"/>
      <w:bookmarkStart w:id="319" w:name="_Toc4078312"/>
      <w:bookmarkStart w:id="320" w:name="_Toc22010"/>
      <w:bookmarkStart w:id="321" w:name="_Toc18557"/>
      <w:bookmarkStart w:id="322" w:name="_Toc8644"/>
      <w:bookmarkStart w:id="323" w:name="_Toc246996923"/>
      <w:bookmarkStart w:id="324" w:name="_Toc246996180"/>
      <w:bookmarkStart w:id="325" w:name="_Toc2732"/>
      <w:r>
        <w:rPr>
          <w:rFonts w:hint="eastAsia"/>
          <w:color w:val="auto"/>
        </w:rPr>
        <w:t>1.5 费用承担</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投标人准备和参加投标活动发生的费用自理。</w:t>
      </w:r>
    </w:p>
    <w:p>
      <w:pPr>
        <w:pStyle w:val="5"/>
        <w:ind w:firstLine="482"/>
        <w:rPr>
          <w:color w:val="auto"/>
        </w:rPr>
      </w:pPr>
      <w:bookmarkStart w:id="326" w:name="_Toc4078313"/>
      <w:bookmarkStart w:id="327" w:name="_Toc246996924"/>
      <w:bookmarkStart w:id="328" w:name="_Toc10974"/>
      <w:bookmarkStart w:id="329" w:name="_Toc28050"/>
      <w:bookmarkStart w:id="330" w:name="_Toc152042312"/>
      <w:bookmarkStart w:id="331" w:name="_Toc20211"/>
      <w:bookmarkStart w:id="332" w:name="_Toc246996181"/>
      <w:bookmarkStart w:id="333" w:name="_Toc181"/>
      <w:bookmarkStart w:id="334" w:name="_Toc26831"/>
      <w:bookmarkStart w:id="335" w:name="_Toc179632553"/>
      <w:bookmarkStart w:id="336" w:name="_Toc152045536"/>
      <w:bookmarkStart w:id="337" w:name="_Toc119872482"/>
      <w:bookmarkStart w:id="338" w:name="_Toc144974504"/>
      <w:bookmarkStart w:id="339" w:name="_Toc247085695"/>
      <w:bookmarkStart w:id="340" w:name="_Toc344"/>
      <w:bookmarkStart w:id="341" w:name="_Toc27575"/>
      <w:bookmarkStart w:id="342" w:name="_Toc124612916"/>
      <w:r>
        <w:rPr>
          <w:rFonts w:hint="eastAsia"/>
          <w:color w:val="auto"/>
        </w:rPr>
        <w:t>1.6 保密</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参与招标投标活动的各方应对招标文件和投标文件中的商业和技术等秘密保密，违者应对由此造成的后果承担法律责任。 </w:t>
      </w:r>
    </w:p>
    <w:p>
      <w:pPr>
        <w:pStyle w:val="5"/>
        <w:ind w:firstLine="482"/>
        <w:rPr>
          <w:color w:val="auto"/>
        </w:rPr>
      </w:pPr>
      <w:bookmarkStart w:id="343" w:name="_Toc144974505"/>
      <w:bookmarkStart w:id="344" w:name="_Toc124612917"/>
      <w:bookmarkStart w:id="345" w:name="_Toc5458"/>
      <w:bookmarkStart w:id="346" w:name="_Toc246996182"/>
      <w:bookmarkStart w:id="347" w:name="_Toc246996925"/>
      <w:bookmarkStart w:id="348" w:name="_Toc4078314"/>
      <w:bookmarkStart w:id="349" w:name="_Toc10999"/>
      <w:bookmarkStart w:id="350" w:name="_Toc152042313"/>
      <w:bookmarkStart w:id="351" w:name="_Toc152045537"/>
      <w:bookmarkStart w:id="352" w:name="_Toc20780"/>
      <w:bookmarkStart w:id="353" w:name="_Toc13606"/>
      <w:bookmarkStart w:id="354" w:name="_Toc3490"/>
      <w:bookmarkStart w:id="355" w:name="_Toc119872483"/>
      <w:bookmarkStart w:id="356" w:name="_Toc14688"/>
      <w:bookmarkStart w:id="357" w:name="_Toc247085696"/>
      <w:bookmarkStart w:id="358" w:name="_Toc179632554"/>
      <w:bookmarkStart w:id="359" w:name="_Toc27816"/>
      <w:r>
        <w:rPr>
          <w:rFonts w:hint="eastAsia"/>
          <w:color w:val="auto"/>
        </w:rPr>
        <w:t>1.7 语言</w:t>
      </w:r>
      <w:bookmarkEnd w:id="343"/>
      <w:r>
        <w:rPr>
          <w:rFonts w:hint="eastAsia"/>
          <w:color w:val="auto"/>
        </w:rPr>
        <w:t>文字</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adjustRightInd w:val="0"/>
        <w:snapToGrid w:val="0"/>
        <w:spacing w:line="360" w:lineRule="auto"/>
        <w:ind w:firstLine="480" w:firstLineChars="200"/>
        <w:rPr>
          <w:rFonts w:ascii="宋体" w:hAnsi="宋体" w:cs="宋体"/>
          <w:color w:val="auto"/>
          <w:sz w:val="24"/>
        </w:rPr>
      </w:pPr>
      <w:bookmarkStart w:id="360" w:name="_Toc246996183"/>
      <w:bookmarkStart w:id="361" w:name="_Toc152045538"/>
      <w:bookmarkStart w:id="362" w:name="_Toc152042314"/>
      <w:bookmarkStart w:id="363" w:name="_Toc246996926"/>
      <w:bookmarkStart w:id="364" w:name="_Toc144974506"/>
      <w:bookmarkStart w:id="365" w:name="_Toc247085697"/>
      <w:bookmarkStart w:id="366" w:name="_Toc179632555"/>
      <w:r>
        <w:rPr>
          <w:rFonts w:hint="eastAsia" w:ascii="宋体" w:hAnsi="宋体" w:cs="宋体"/>
          <w:color w:val="auto"/>
          <w:sz w:val="24"/>
        </w:rPr>
        <w:t>招标投标文件使用的语言文字为中文。专用术语使用外文的，应附有中文注释。</w:t>
      </w:r>
    </w:p>
    <w:p>
      <w:pPr>
        <w:pStyle w:val="5"/>
        <w:ind w:firstLine="482"/>
        <w:rPr>
          <w:color w:val="auto"/>
        </w:rPr>
      </w:pPr>
      <w:bookmarkStart w:id="367" w:name="_Toc14529"/>
      <w:bookmarkStart w:id="368" w:name="_Toc4078315"/>
      <w:bookmarkStart w:id="369" w:name="_Toc12422"/>
      <w:bookmarkStart w:id="370" w:name="_Toc10338"/>
      <w:bookmarkStart w:id="371" w:name="_Toc124612918"/>
      <w:bookmarkStart w:id="372" w:name="_Toc26009"/>
      <w:bookmarkStart w:id="373" w:name="_Toc5274"/>
      <w:bookmarkStart w:id="374" w:name="_Toc119872484"/>
      <w:bookmarkStart w:id="375" w:name="_Toc32399"/>
      <w:bookmarkStart w:id="376" w:name="_Toc29538"/>
      <w:r>
        <w:rPr>
          <w:rFonts w:hint="eastAsia"/>
          <w:color w:val="auto"/>
        </w:rPr>
        <w:t>1.8 计量单位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所有计量均采用中华人民共和国法定计量单位。</w:t>
      </w:r>
    </w:p>
    <w:p>
      <w:pPr>
        <w:pStyle w:val="5"/>
        <w:ind w:firstLine="482"/>
        <w:rPr>
          <w:color w:val="auto"/>
        </w:rPr>
      </w:pPr>
      <w:bookmarkStart w:id="377" w:name="_Toc4078316"/>
      <w:bookmarkStart w:id="378" w:name="_Toc23062"/>
      <w:bookmarkStart w:id="379" w:name="_Toc25887"/>
      <w:bookmarkStart w:id="380" w:name="_Toc247592876"/>
      <w:bookmarkStart w:id="381" w:name="_Toc9212"/>
      <w:bookmarkStart w:id="382" w:name="_Toc247527563"/>
      <w:bookmarkStart w:id="383" w:name="_Toc15438"/>
      <w:bookmarkStart w:id="384" w:name="_Toc152045539"/>
      <w:bookmarkStart w:id="385" w:name="_Toc13324"/>
      <w:bookmarkStart w:id="386" w:name="_Toc119872485"/>
      <w:bookmarkStart w:id="387" w:name="_Toc152042315"/>
      <w:bookmarkStart w:id="388" w:name="_Toc247513962"/>
      <w:bookmarkStart w:id="389" w:name="_Toc124612919"/>
      <w:bookmarkStart w:id="390" w:name="_Toc22413"/>
      <w:bookmarkStart w:id="391" w:name="_Toc144974507"/>
      <w:bookmarkStart w:id="392" w:name="_Toc12866"/>
      <w:r>
        <w:rPr>
          <w:rFonts w:hint="eastAsia"/>
          <w:color w:val="auto"/>
        </w:rPr>
        <w:t>1.9 踏勘现场</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1.9.1 投标须知前附表规定组织踏勘现场的，招标人按投标须知前附表规定的时间、地点组织投标人踏勘项目现场。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1.9.2 投标人踏勘现场发生的费用自理。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1.9.3 除招标人的原因外，投标人自行负责在踏勘现场中所发生的人员伤亡和财产损失。</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1.9.4 招标人在踏勘现场中介绍的工程场地和相关的周边环境情况，供投标人在编制投标文件时参考，招标人不对投标人据此作出的判断和决策负责。</w:t>
      </w:r>
    </w:p>
    <w:p>
      <w:pPr>
        <w:pStyle w:val="5"/>
        <w:ind w:firstLine="482"/>
        <w:rPr>
          <w:color w:val="auto"/>
        </w:rPr>
      </w:pPr>
      <w:bookmarkStart w:id="393" w:name="_Toc2551"/>
      <w:bookmarkStart w:id="394" w:name="_Toc247592877"/>
      <w:bookmarkStart w:id="395" w:name="_Toc152042316"/>
      <w:bookmarkStart w:id="396" w:name="_Toc4432"/>
      <w:bookmarkStart w:id="397" w:name="_Toc20260"/>
      <w:bookmarkStart w:id="398" w:name="_Toc247527564"/>
      <w:bookmarkStart w:id="399" w:name="_Toc152045540"/>
      <w:bookmarkStart w:id="400" w:name="_Toc4078317"/>
      <w:bookmarkStart w:id="401" w:name="_Toc119872486"/>
      <w:bookmarkStart w:id="402" w:name="_Toc12389"/>
      <w:bookmarkStart w:id="403" w:name="_Toc84"/>
      <w:bookmarkStart w:id="404" w:name="_Toc144974508"/>
      <w:bookmarkStart w:id="405" w:name="_Toc24027"/>
      <w:bookmarkStart w:id="406" w:name="_Toc3993"/>
      <w:bookmarkStart w:id="407" w:name="_Toc247513963"/>
      <w:bookmarkStart w:id="408" w:name="_Toc124612920"/>
      <w:r>
        <w:rPr>
          <w:rFonts w:hint="eastAsia"/>
          <w:color w:val="auto"/>
        </w:rPr>
        <w:t>1.10 投标预备会</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adjustRightInd w:val="0"/>
        <w:snapToGrid w:val="0"/>
        <w:spacing w:line="360" w:lineRule="auto"/>
        <w:ind w:firstLine="480" w:firstLineChars="200"/>
        <w:rPr>
          <w:rFonts w:ascii="宋体" w:hAnsi="宋体" w:cs="宋体"/>
          <w:color w:val="auto"/>
          <w:sz w:val="24"/>
        </w:rPr>
      </w:pPr>
      <w:bookmarkStart w:id="409" w:name="_Hlk124765180"/>
      <w:r>
        <w:rPr>
          <w:rFonts w:hint="eastAsia" w:ascii="宋体" w:hAnsi="宋体" w:cs="宋体"/>
          <w:color w:val="auto"/>
          <w:sz w:val="24"/>
        </w:rPr>
        <w:t>1.10.1 投标须知前附表规定召开投标预备会的，招标人按投标须知前附表规定的时间和地点召开投标预备会，澄清投标人提出的问题。</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1.10.2 投标人应在《招标日程安排表》确定的询疑时间前，将须招标人澄清的问题在惠州市公共资源交易中心建设工程招投标交易平台</w:t>
      </w:r>
      <w:r>
        <w:rPr>
          <w:rFonts w:hint="eastAsia" w:ascii="宋体" w:hAnsi="宋体"/>
          <w:color w:val="auto"/>
          <w:sz w:val="22"/>
        </w:rPr>
        <w:t>（</w:t>
      </w:r>
      <w:r>
        <w:rPr>
          <w:rFonts w:ascii="宋体" w:hAnsi="宋体"/>
          <w:color w:val="auto"/>
          <w:sz w:val="22"/>
        </w:rPr>
        <w:t>http://zyjy.huizhou.gov.cn）</w:t>
      </w:r>
      <w:r>
        <w:rPr>
          <w:rFonts w:hint="eastAsia" w:ascii="宋体" w:hAnsi="宋体" w:cs="宋体"/>
          <w:color w:val="auto"/>
          <w:sz w:val="24"/>
        </w:rPr>
        <w:t>提出。</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1.10.3投标人若对招标文件有疑问，请以匿名网上提交疑问形式在规定的询疑时间发布到惠州市公共资源交易中心建设工程招投标交易平台（http://zyjy.huizhou.gov.cn）。招标人及招标代理机构在《招标日程安排表》确定的答疑时间在惠州市公共资源交易中心建设工程招投标交易平台（http://zyjy.huizhou.gov.cn）公布告知所有获得招标文件的投标人（投标人自行从惠州市公共资源交易中心建设工程招投标交易平台下载（http://zyjy.huizhou.gov.cn））。</w:t>
      </w:r>
      <w:bookmarkEnd w:id="409"/>
    </w:p>
    <w:p>
      <w:pPr>
        <w:pStyle w:val="5"/>
        <w:ind w:firstLine="482"/>
        <w:rPr>
          <w:color w:val="auto"/>
        </w:rPr>
      </w:pPr>
      <w:bookmarkStart w:id="410" w:name="_Toc10957"/>
      <w:bookmarkStart w:id="411" w:name="_Toc124612921"/>
      <w:bookmarkStart w:id="412" w:name="_Toc5761"/>
      <w:bookmarkStart w:id="413" w:name="_Toc17232"/>
      <w:bookmarkStart w:id="414" w:name="_Toc2998"/>
      <w:bookmarkStart w:id="415" w:name="_Toc9497"/>
      <w:bookmarkStart w:id="416" w:name="_Toc4078318"/>
      <w:bookmarkStart w:id="417" w:name="_Toc11612"/>
      <w:bookmarkStart w:id="418" w:name="_Toc119872487"/>
      <w:bookmarkStart w:id="419" w:name="_Toc17459"/>
      <w:r>
        <w:rPr>
          <w:rFonts w:hint="eastAsia"/>
          <w:color w:val="auto"/>
        </w:rPr>
        <w:t>1.11 偏离</w:t>
      </w:r>
      <w:bookmarkEnd w:id="410"/>
      <w:bookmarkEnd w:id="411"/>
      <w:bookmarkEnd w:id="412"/>
      <w:bookmarkEnd w:id="413"/>
      <w:bookmarkEnd w:id="414"/>
      <w:bookmarkEnd w:id="415"/>
      <w:bookmarkEnd w:id="416"/>
      <w:bookmarkEnd w:id="417"/>
      <w:bookmarkEnd w:id="418"/>
      <w:bookmarkEnd w:id="41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投标须知前附表允许投标文件偏离招标文件某些要求的，偏离应当符合招标文件规定的偏离范围和幅度。</w:t>
      </w:r>
    </w:p>
    <w:p>
      <w:pPr>
        <w:pStyle w:val="5"/>
        <w:ind w:firstLine="482"/>
        <w:rPr>
          <w:color w:val="auto"/>
        </w:rPr>
      </w:pPr>
      <w:bookmarkStart w:id="420" w:name="_Toc124612922"/>
      <w:bookmarkStart w:id="421" w:name="_Toc21423"/>
      <w:bookmarkStart w:id="422" w:name="_Toc4078319"/>
      <w:bookmarkStart w:id="423" w:name="_Toc2342"/>
      <w:bookmarkStart w:id="424" w:name="_Toc3211577"/>
      <w:bookmarkStart w:id="425" w:name="_Toc25914"/>
      <w:bookmarkStart w:id="426" w:name="_Toc15050"/>
      <w:bookmarkStart w:id="427" w:name="_Toc119872488"/>
      <w:bookmarkStart w:id="428" w:name="_Toc26781"/>
      <w:bookmarkStart w:id="429" w:name="_Toc32478"/>
      <w:bookmarkStart w:id="430" w:name="_Toc9913"/>
      <w:r>
        <w:rPr>
          <w:rFonts w:hint="eastAsia"/>
          <w:color w:val="auto"/>
        </w:rPr>
        <w:t>1.12 分包</w:t>
      </w:r>
      <w:bookmarkEnd w:id="420"/>
      <w:bookmarkEnd w:id="421"/>
      <w:bookmarkEnd w:id="422"/>
      <w:bookmarkEnd w:id="423"/>
      <w:bookmarkEnd w:id="424"/>
      <w:bookmarkEnd w:id="425"/>
      <w:bookmarkEnd w:id="426"/>
      <w:bookmarkEnd w:id="427"/>
      <w:bookmarkEnd w:id="428"/>
      <w:bookmarkEnd w:id="429"/>
      <w:bookmarkEnd w:id="430"/>
    </w:p>
    <w:p>
      <w:pPr>
        <w:adjustRightInd w:val="0"/>
        <w:snapToGrid w:val="0"/>
        <w:spacing w:line="360" w:lineRule="auto"/>
        <w:ind w:firstLine="480" w:firstLineChars="200"/>
        <w:rPr>
          <w:rFonts w:ascii="宋体" w:hAnsi="宋体" w:cs="宋体"/>
          <w:color w:val="auto"/>
          <w:sz w:val="24"/>
        </w:rPr>
      </w:pPr>
      <w:bookmarkStart w:id="431" w:name="_Toc152045542"/>
      <w:bookmarkStart w:id="432" w:name="_Toc247085701"/>
      <w:bookmarkStart w:id="433" w:name="_Toc152042318"/>
      <w:bookmarkStart w:id="434" w:name="_Toc246996187"/>
      <w:bookmarkStart w:id="435" w:name="_Toc144974510"/>
      <w:bookmarkStart w:id="436" w:name="_Toc246996930"/>
      <w:bookmarkStart w:id="437" w:name="_Toc179632560"/>
      <w:r>
        <w:rPr>
          <w:rFonts w:hint="eastAsia" w:ascii="宋体" w:hAnsi="宋体" w:cs="宋体"/>
          <w:color w:val="auto"/>
          <w:sz w:val="24"/>
        </w:rPr>
        <w:t>1.12.1 投标须知前附表规定应当由分包人实施的非主体、非关键性工作，投标人应当按照招标人要求提供分包人的相应资料。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1.12.2 投标人拟在中标后将中标项目的部分非主体、非关键性工作进行分包的，应符合投标须知前附表规定的分包内容、分包金额和资质要求等限制性条件。</w:t>
      </w:r>
    </w:p>
    <w:p>
      <w:pPr>
        <w:pStyle w:val="2"/>
        <w:adjustRightInd w:val="0"/>
        <w:snapToGrid w:val="0"/>
        <w:spacing w:line="360" w:lineRule="auto"/>
        <w:rPr>
          <w:rFonts w:ascii="宋体" w:hAnsi="宋体"/>
          <w:color w:val="auto"/>
        </w:rPr>
      </w:pPr>
    </w:p>
    <w:p>
      <w:pPr>
        <w:pStyle w:val="4"/>
        <w:ind w:firstLine="482"/>
        <w:rPr>
          <w:color w:val="auto"/>
        </w:rPr>
      </w:pPr>
      <w:bookmarkStart w:id="438" w:name="_Toc4676"/>
      <w:bookmarkStart w:id="439" w:name="_Toc27223"/>
      <w:bookmarkStart w:id="440" w:name="_Toc119872489"/>
      <w:bookmarkStart w:id="441" w:name="_Toc124612923"/>
      <w:bookmarkStart w:id="442" w:name="_Toc17069"/>
      <w:bookmarkStart w:id="443" w:name="_Toc4078320"/>
      <w:bookmarkStart w:id="444" w:name="_Toc21894"/>
      <w:bookmarkStart w:id="445" w:name="_Toc19182"/>
      <w:bookmarkStart w:id="446" w:name="_Toc22476"/>
      <w:bookmarkStart w:id="447" w:name="_Toc20825"/>
      <w:r>
        <w:rPr>
          <w:rFonts w:hint="eastAsia"/>
          <w:color w:val="auto"/>
        </w:rPr>
        <w:t>2. 招标文件</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5"/>
        <w:ind w:firstLine="482"/>
        <w:rPr>
          <w:color w:val="auto"/>
        </w:rPr>
      </w:pPr>
      <w:bookmarkStart w:id="448" w:name="_Toc31170"/>
      <w:bookmarkStart w:id="449" w:name="_Toc20771"/>
      <w:bookmarkStart w:id="450" w:name="_Toc119872490"/>
      <w:bookmarkStart w:id="451" w:name="_Toc152042319"/>
      <w:bookmarkStart w:id="452" w:name="_Toc18834"/>
      <w:bookmarkStart w:id="453" w:name="_Toc246996931"/>
      <w:bookmarkStart w:id="454" w:name="_Toc31788"/>
      <w:bookmarkStart w:id="455" w:name="_Toc246996188"/>
      <w:bookmarkStart w:id="456" w:name="_Toc23797"/>
      <w:bookmarkStart w:id="457" w:name="_Toc21781"/>
      <w:bookmarkStart w:id="458" w:name="_Toc247085702"/>
      <w:bookmarkStart w:id="459" w:name="_Toc124612924"/>
      <w:bookmarkStart w:id="460" w:name="_Toc179632561"/>
      <w:bookmarkStart w:id="461" w:name="_Toc4078321"/>
      <w:bookmarkStart w:id="462" w:name="_Toc12970"/>
      <w:bookmarkStart w:id="463" w:name="_Toc144974511"/>
      <w:bookmarkStart w:id="464" w:name="_Toc152045543"/>
      <w:r>
        <w:rPr>
          <w:rFonts w:hint="eastAsia"/>
          <w:color w:val="auto"/>
        </w:rPr>
        <w:t>2.1 招标文件的组成</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2.1.1 本招标文件包括：</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（1）招标公告；</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（2）投标须知；</w:t>
      </w:r>
    </w:p>
    <w:p>
      <w:pPr>
        <w:adjustRightInd w:val="0"/>
        <w:snapToGrid w:val="0"/>
        <w:spacing w:line="360" w:lineRule="auto"/>
        <w:ind w:firstLine="480" w:firstLineChars="200"/>
        <w:rPr>
          <w:rFonts w:ascii="宋体" w:hAnsi="宋体"/>
          <w:color w:val="auto"/>
        </w:rPr>
      </w:pPr>
      <w:r>
        <w:rPr>
          <w:rFonts w:hint="eastAsia" w:ascii="宋体" w:hAnsi="宋体" w:cs="宋体"/>
          <w:color w:val="auto"/>
          <w:sz w:val="24"/>
        </w:rPr>
        <w:t>（3）评标办法；</w:t>
      </w:r>
    </w:p>
    <w:p>
      <w:pPr>
        <w:adjustRightInd w:val="0"/>
        <w:snapToGrid w:val="0"/>
        <w:spacing w:line="360" w:lineRule="auto"/>
        <w:ind w:firstLine="468" w:firstLineChars="195"/>
        <w:rPr>
          <w:rFonts w:ascii="宋体" w:hAnsi="宋体" w:cs="宋体"/>
          <w:color w:val="auto"/>
          <w:sz w:val="24"/>
        </w:rPr>
      </w:pPr>
      <w:r>
        <w:rPr>
          <w:rFonts w:hint="eastAsia" w:ascii="宋体" w:hAnsi="宋体" w:cs="宋体"/>
          <w:color w:val="auto"/>
          <w:sz w:val="24"/>
        </w:rPr>
        <w:t>（4）定标办法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（5）合同格式及主要条款；</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（6）工程量清单；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（7）图纸；</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（8）技术标准和要求；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（9）投标文件格式；</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（10）投标须知前附表规定的其他材料。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2.1.2 根据本章第1.10款、第2.2款和第2.3款对招标文件所作的澄清、修改，构成招标文件的组成部分。</w:t>
      </w:r>
    </w:p>
    <w:p>
      <w:pPr>
        <w:pStyle w:val="5"/>
        <w:ind w:firstLine="482"/>
        <w:rPr>
          <w:color w:val="auto"/>
        </w:rPr>
      </w:pPr>
      <w:bookmarkStart w:id="465" w:name="_Toc16060"/>
      <w:bookmarkStart w:id="466" w:name="_Toc13310"/>
      <w:bookmarkStart w:id="467" w:name="_Toc144974512"/>
      <w:bookmarkStart w:id="468" w:name="_Toc246996932"/>
      <w:bookmarkStart w:id="469" w:name="_Toc28762"/>
      <w:bookmarkStart w:id="470" w:name="_Toc246996189"/>
      <w:bookmarkStart w:id="471" w:name="_Toc3223"/>
      <w:bookmarkStart w:id="472" w:name="_Toc24704"/>
      <w:bookmarkStart w:id="473" w:name="_Toc4901"/>
      <w:bookmarkStart w:id="474" w:name="_Toc4078322"/>
      <w:bookmarkStart w:id="475" w:name="_Toc124612925"/>
      <w:bookmarkStart w:id="476" w:name="_Toc119872491"/>
      <w:bookmarkStart w:id="477" w:name="_Toc152042320"/>
      <w:bookmarkStart w:id="478" w:name="_Toc179632562"/>
      <w:bookmarkStart w:id="479" w:name="_Toc11933"/>
      <w:bookmarkStart w:id="480" w:name="_Toc247085703"/>
      <w:bookmarkStart w:id="481" w:name="_Toc152045544"/>
      <w:r>
        <w:rPr>
          <w:rFonts w:hint="eastAsia"/>
          <w:color w:val="auto"/>
        </w:rPr>
        <w:t>2.2 招标文件的澄清</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eastAsia"/>
          <w:color w:val="auto"/>
        </w:rPr>
        <w:t xml:space="preserve">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2.2.1 投标人应仔细阅读和检查招标文件的全部内容。如发现缺页或附件不全，应及时向招标人提出，以便补齐。如有疑问，应按照《招标日程安排表》确定的投标人提出问题截止时间前进行网上询疑。招标人及招标代理机构应在《招标日程安排表》中招标人网上澄清截止时间前对投标人提出疑问予以网上发布答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2.2.2 招标文件的澄清将在惠州市公共资源交易中心建设工程招投标交易平台（http://zyjy.huizhou.gov.cn）发布，但不指明澄清问题的来源。如果澄清发出的时间距投标须知前附表规定的投标截止时间不足15天，并且澄清内容影响投标文件编制的，将相应延长投标截止时间。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2.2.3 招标文件的澄清发布后，投标人自行在惠州市公共资源交易中心建设工程招投标交易平台（http://zyjy.huizhou.gov.cn）查看。</w:t>
      </w:r>
    </w:p>
    <w:p>
      <w:pPr>
        <w:pStyle w:val="5"/>
        <w:ind w:firstLine="482"/>
        <w:rPr>
          <w:color w:val="auto"/>
        </w:rPr>
      </w:pPr>
      <w:bookmarkStart w:id="482" w:name="_Toc246996933"/>
      <w:bookmarkStart w:id="483" w:name="_Toc144974513"/>
      <w:bookmarkStart w:id="484" w:name="_Toc5934"/>
      <w:bookmarkStart w:id="485" w:name="_Toc247085704"/>
      <w:bookmarkStart w:id="486" w:name="_Toc25636"/>
      <w:bookmarkStart w:id="487" w:name="_Toc17347"/>
      <w:bookmarkStart w:id="488" w:name="_Toc17345"/>
      <w:bookmarkStart w:id="489" w:name="_Toc246996190"/>
      <w:bookmarkStart w:id="490" w:name="_Toc152045545"/>
      <w:bookmarkStart w:id="491" w:name="_Toc4078323"/>
      <w:bookmarkStart w:id="492" w:name="_Toc32508"/>
      <w:bookmarkStart w:id="493" w:name="_Toc179632563"/>
      <w:bookmarkStart w:id="494" w:name="_Toc124612926"/>
      <w:bookmarkStart w:id="495" w:name="_Toc119872492"/>
      <w:bookmarkStart w:id="496" w:name="_Toc15588"/>
      <w:bookmarkStart w:id="497" w:name="_Toc23580"/>
      <w:bookmarkStart w:id="498" w:name="_Toc152042321"/>
      <w:r>
        <w:rPr>
          <w:rFonts w:hint="eastAsia"/>
          <w:color w:val="auto"/>
        </w:rPr>
        <w:t>2.3 招标文件的修改</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2.3.1 招标人可主动地或在解答投标人提出需澄清的疑问时，对招标文件以补充说明的方式修改招标文件。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2.3.2补充说明将在惠州市公共资源交易中心建设工程招投标交易平台（http://zyjy.huizhou.gov.cn）发布。补充文件将作为招标文件的组成部分，对所有投标人具有约束力。</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2.3.3 修改招标文件的时间距投标须知前附表规定的投标截止时间不足15天的，并且修改内容影响投标文件编制的，将相应延长投标截止时间。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2.3.4招标文件补充说明发布后，投标人自行在惠州市公共资源交易中心建设工程招投标交易平台（http://zyjy.huizhou.gov.cn）查看。</w:t>
      </w:r>
    </w:p>
    <w:p>
      <w:pPr>
        <w:pStyle w:val="2"/>
        <w:adjustRightInd w:val="0"/>
        <w:snapToGrid w:val="0"/>
        <w:spacing w:line="360" w:lineRule="auto"/>
        <w:rPr>
          <w:rFonts w:ascii="宋体" w:hAnsi="宋体"/>
          <w:color w:val="auto"/>
        </w:rPr>
      </w:pPr>
      <w:bookmarkStart w:id="499" w:name="_Toc152045546"/>
      <w:bookmarkStart w:id="500" w:name="_Toc12603"/>
      <w:bookmarkStart w:id="501" w:name="_Toc18946"/>
      <w:bookmarkStart w:id="502" w:name="_Toc21087"/>
      <w:bookmarkStart w:id="503" w:name="_Toc246996934"/>
      <w:bookmarkStart w:id="504" w:name="_Toc144974514"/>
      <w:bookmarkStart w:id="505" w:name="_Toc4078324"/>
      <w:bookmarkStart w:id="506" w:name="_Toc10516"/>
      <w:bookmarkStart w:id="507" w:name="_Toc179632564"/>
      <w:bookmarkStart w:id="508" w:name="_Toc246996191"/>
      <w:bookmarkStart w:id="509" w:name="_Toc247085705"/>
      <w:bookmarkStart w:id="510" w:name="_Toc152042322"/>
      <w:bookmarkStart w:id="511" w:name="_Toc16906"/>
      <w:bookmarkStart w:id="512" w:name="_Toc23726"/>
      <w:bookmarkStart w:id="513" w:name="_Toc119872493"/>
    </w:p>
    <w:p>
      <w:pPr>
        <w:pStyle w:val="4"/>
        <w:ind w:firstLine="482"/>
        <w:rPr>
          <w:color w:val="auto"/>
        </w:rPr>
      </w:pPr>
      <w:bookmarkStart w:id="514" w:name="_Toc124612927"/>
      <w:bookmarkStart w:id="515" w:name="_Toc277"/>
      <w:r>
        <w:rPr>
          <w:rFonts w:hint="eastAsia"/>
          <w:color w:val="auto"/>
        </w:rPr>
        <w:t>3. 投标文件</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5"/>
        <w:ind w:firstLine="482"/>
        <w:rPr>
          <w:color w:val="auto"/>
        </w:rPr>
      </w:pPr>
      <w:bookmarkStart w:id="516" w:name="_Toc179632565"/>
      <w:bookmarkStart w:id="517" w:name="_Toc152042323"/>
      <w:bookmarkStart w:id="518" w:name="_Toc28372"/>
      <w:bookmarkStart w:id="519" w:name="_Toc10090"/>
      <w:bookmarkStart w:id="520" w:name="_Toc246996192"/>
      <w:bookmarkStart w:id="521" w:name="_Toc15013"/>
      <w:bookmarkStart w:id="522" w:name="_Toc247085706"/>
      <w:bookmarkStart w:id="523" w:name="_Toc4078325"/>
      <w:bookmarkStart w:id="524" w:name="_Toc19490"/>
      <w:bookmarkStart w:id="525" w:name="_Toc246996935"/>
      <w:bookmarkStart w:id="526" w:name="_Toc18925"/>
      <w:bookmarkStart w:id="527" w:name="_Toc124612928"/>
      <w:bookmarkStart w:id="528" w:name="_Toc144974515"/>
      <w:bookmarkStart w:id="529" w:name="_Toc152045547"/>
      <w:bookmarkStart w:id="530" w:name="_Toc24211"/>
      <w:bookmarkStart w:id="531" w:name="_Toc119872494"/>
      <w:bookmarkStart w:id="532" w:name="_Toc17410"/>
      <w:r>
        <w:rPr>
          <w:rFonts w:hint="eastAsia"/>
          <w:color w:val="auto"/>
        </w:rPr>
        <w:t>3.1 投标文件的组成</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3.1.1投标文件应包括下列内容：</w:t>
      </w:r>
    </w:p>
    <w:p>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第一册  商务投标文件</w:t>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"_Toc8290" </w:instrText>
      </w:r>
      <w:r>
        <w:rPr>
          <w:color w:val="auto"/>
        </w:rPr>
        <w:fldChar w:fldCharType="separate"/>
      </w:r>
      <w:r>
        <w:rPr>
          <w:rFonts w:hint="eastAsia" w:ascii="宋体" w:hAnsi="宋体" w:cs="宋体"/>
          <w:color w:val="auto"/>
          <w:sz w:val="24"/>
        </w:rPr>
        <w:t>电子签章和电子签名扉页</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"_Toc28550" </w:instrText>
      </w:r>
      <w:r>
        <w:rPr>
          <w:color w:val="auto"/>
        </w:rPr>
        <w:fldChar w:fldCharType="separate"/>
      </w:r>
      <w:r>
        <w:rPr>
          <w:rFonts w:hint="eastAsia" w:ascii="宋体" w:hAnsi="宋体" w:cs="宋体"/>
          <w:color w:val="auto"/>
          <w:sz w:val="24"/>
        </w:rPr>
        <w:t>目  录</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"_Toc27667" </w:instrText>
      </w:r>
      <w:r>
        <w:rPr>
          <w:color w:val="auto"/>
        </w:rPr>
        <w:fldChar w:fldCharType="separate"/>
      </w:r>
      <w:r>
        <w:rPr>
          <w:rFonts w:hint="eastAsia" w:ascii="宋体" w:hAnsi="宋体" w:cs="宋体"/>
          <w:color w:val="auto"/>
          <w:sz w:val="24"/>
        </w:rPr>
        <w:t>一、投标函及投标函附录</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"_Toc27696" </w:instrText>
      </w:r>
      <w:r>
        <w:rPr>
          <w:color w:val="auto"/>
        </w:rPr>
        <w:fldChar w:fldCharType="separate"/>
      </w:r>
      <w:r>
        <w:rPr>
          <w:rFonts w:hint="eastAsia" w:ascii="宋体" w:hAnsi="宋体" w:cs="宋体"/>
          <w:color w:val="auto"/>
          <w:sz w:val="24"/>
        </w:rPr>
        <w:t>（一）投标函</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"_Toc12157" </w:instrText>
      </w:r>
      <w:r>
        <w:rPr>
          <w:color w:val="auto"/>
        </w:rPr>
        <w:fldChar w:fldCharType="separate"/>
      </w:r>
      <w:r>
        <w:rPr>
          <w:rFonts w:hint="eastAsia" w:ascii="宋体" w:hAnsi="宋体" w:cs="宋体"/>
          <w:color w:val="auto"/>
          <w:sz w:val="24"/>
        </w:rPr>
        <w:t>（二）投标函附录</w:t>
      </w:r>
      <w:r>
        <w:rPr>
          <w:rFonts w:hint="eastAsia" w:ascii="宋体" w:hAnsi="宋体" w:cs="宋体"/>
          <w:color w:val="auto"/>
          <w:sz w:val="24"/>
        </w:rPr>
        <w:tab/>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"_Toc27614" </w:instrText>
      </w:r>
      <w:r>
        <w:rPr>
          <w:color w:val="auto"/>
        </w:rPr>
        <w:fldChar w:fldCharType="separate"/>
      </w:r>
      <w:r>
        <w:rPr>
          <w:rFonts w:hint="eastAsia" w:ascii="宋体" w:hAnsi="宋体" w:cs="宋体"/>
          <w:color w:val="auto"/>
          <w:sz w:val="24"/>
        </w:rPr>
        <w:t>二、法定代表人身份证明或附有法定代表人身份证明的授权委托书</w:t>
      </w:r>
      <w:r>
        <w:rPr>
          <w:rFonts w:hint="eastAsia" w:ascii="宋体" w:hAnsi="宋体" w:cs="宋体"/>
          <w:color w:val="auto"/>
          <w:sz w:val="24"/>
        </w:rPr>
        <w:tab/>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"_Toc28752" </w:instrText>
      </w:r>
      <w:r>
        <w:rPr>
          <w:color w:val="auto"/>
        </w:rPr>
        <w:fldChar w:fldCharType="separate"/>
      </w:r>
      <w:r>
        <w:rPr>
          <w:rFonts w:hint="eastAsia" w:ascii="宋体" w:hAnsi="宋体" w:cs="宋体"/>
          <w:color w:val="auto"/>
          <w:sz w:val="24"/>
        </w:rPr>
        <w:t>（一）法定代表人身份证明</w:t>
      </w:r>
      <w:r>
        <w:rPr>
          <w:rFonts w:hint="eastAsia" w:ascii="宋体" w:hAnsi="宋体" w:cs="宋体"/>
          <w:color w:val="auto"/>
          <w:sz w:val="24"/>
        </w:rPr>
        <w:tab/>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"_Toc4326" </w:instrText>
      </w:r>
      <w:r>
        <w:rPr>
          <w:color w:val="auto"/>
        </w:rPr>
        <w:fldChar w:fldCharType="separate"/>
      </w:r>
      <w:r>
        <w:rPr>
          <w:rFonts w:hint="eastAsia" w:ascii="宋体" w:hAnsi="宋体" w:cs="宋体"/>
          <w:color w:val="auto"/>
          <w:sz w:val="24"/>
        </w:rPr>
        <w:t>（二）授权委托书</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"_Toc21842" </w:instrText>
      </w:r>
      <w:r>
        <w:rPr>
          <w:color w:val="auto"/>
        </w:rPr>
        <w:fldChar w:fldCharType="separate"/>
      </w:r>
      <w:r>
        <w:rPr>
          <w:rFonts w:hint="eastAsia" w:ascii="宋体" w:hAnsi="宋体" w:cs="宋体"/>
          <w:color w:val="auto"/>
          <w:sz w:val="24"/>
        </w:rPr>
        <w:t>三、联合体协议书（如有）</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s="宋体"/>
          <w:color w:val="auto"/>
          <w:sz w:val="24"/>
        </w:rPr>
        <w:t>四、投标保证金</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"_Toc27406" </w:instrText>
      </w:r>
      <w:r>
        <w:rPr>
          <w:color w:val="auto"/>
        </w:rPr>
        <w:fldChar w:fldCharType="separate"/>
      </w:r>
      <w:r>
        <w:rPr>
          <w:rFonts w:hint="eastAsia" w:ascii="宋体" w:hAnsi="宋体" w:cs="宋体"/>
          <w:color w:val="auto"/>
          <w:sz w:val="24"/>
        </w:rPr>
        <w:t>五、资格审查资料</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"_Toc18736" </w:instrText>
      </w:r>
      <w:r>
        <w:rPr>
          <w:color w:val="auto"/>
        </w:rPr>
        <w:fldChar w:fldCharType="separate"/>
      </w:r>
      <w:r>
        <w:rPr>
          <w:rFonts w:hint="eastAsia" w:ascii="宋体" w:hAnsi="宋体" w:cs="宋体"/>
          <w:color w:val="auto"/>
          <w:sz w:val="24"/>
        </w:rPr>
        <w:t>（一）投标人基本情况表</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"_Toc28464" </w:instrText>
      </w:r>
      <w:r>
        <w:rPr>
          <w:color w:val="auto"/>
        </w:rPr>
        <w:fldChar w:fldCharType="separate"/>
      </w:r>
      <w:r>
        <w:rPr>
          <w:rFonts w:hint="eastAsia" w:ascii="宋体" w:hAnsi="宋体" w:cs="宋体"/>
          <w:color w:val="auto"/>
          <w:sz w:val="24"/>
        </w:rPr>
        <w:t>（二）项目管理机构组成</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"_Toc31533" </w:instrText>
      </w:r>
      <w:r>
        <w:rPr>
          <w:color w:val="auto"/>
        </w:rPr>
        <w:fldChar w:fldCharType="separate"/>
      </w:r>
      <w:r>
        <w:rPr>
          <w:rFonts w:hint="eastAsia" w:ascii="宋体" w:hAnsi="宋体" w:cs="宋体"/>
          <w:color w:val="auto"/>
          <w:sz w:val="24"/>
        </w:rPr>
        <w:t>（三）近年完成的类似项目情况表</w:t>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"_Toc24492" </w:instrText>
      </w:r>
      <w:r>
        <w:rPr>
          <w:color w:val="auto"/>
        </w:rPr>
        <w:fldChar w:fldCharType="separate"/>
      </w:r>
      <w:r>
        <w:rPr>
          <w:rFonts w:hint="eastAsia" w:ascii="宋体" w:hAnsi="宋体" w:cs="宋体"/>
          <w:color w:val="auto"/>
          <w:sz w:val="24"/>
        </w:rPr>
        <w:t>（四）信用承诺书</w:t>
      </w:r>
      <w:r>
        <w:rPr>
          <w:rFonts w:hint="eastAsia" w:ascii="宋体" w:hAnsi="宋体" w:cs="宋体"/>
          <w:color w:val="auto"/>
          <w:sz w:val="24"/>
        </w:rPr>
        <w:fldChar w:fldCharType="end"/>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六、其他资料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七、定标因素表</w:t>
      </w:r>
    </w:p>
    <w:p>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第二册  技术投标文件</w:t>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"_Toc25165" </w:instrText>
      </w:r>
      <w:r>
        <w:rPr>
          <w:color w:val="auto"/>
        </w:rPr>
        <w:fldChar w:fldCharType="separate"/>
      </w:r>
      <w:r>
        <w:rPr>
          <w:rFonts w:hint="eastAsia" w:ascii="宋体" w:hAnsi="宋体" w:cs="宋体"/>
          <w:color w:val="auto"/>
          <w:sz w:val="24"/>
        </w:rPr>
        <w:t>电子签章和电子签名扉页</w:t>
      </w:r>
      <w:r>
        <w:rPr>
          <w:rFonts w:hint="eastAsia" w:ascii="宋体" w:hAnsi="宋体" w:cs="宋体"/>
          <w:color w:val="auto"/>
          <w:sz w:val="24"/>
        </w:rPr>
        <w:tab/>
      </w:r>
      <w:r>
        <w:rPr>
          <w:rFonts w:hint="eastAsia" w:ascii="宋体" w:hAnsi="宋体" w:cs="宋体"/>
          <w:color w:val="auto"/>
          <w:sz w:val="24"/>
        </w:rPr>
        <w:fldChar w:fldCharType="end"/>
      </w:r>
    </w:p>
    <w:p>
      <w:pPr>
        <w:adjustRightInd w:val="0"/>
        <w:snapToGrid w:val="0"/>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\l "_Toc6892" </w:instrText>
      </w:r>
      <w:r>
        <w:rPr>
          <w:color w:val="auto"/>
        </w:rPr>
        <w:fldChar w:fldCharType="separate"/>
      </w:r>
      <w:r>
        <w:rPr>
          <w:rFonts w:hint="eastAsia" w:ascii="宋体" w:hAnsi="宋体" w:cs="宋体"/>
          <w:color w:val="auto"/>
          <w:sz w:val="24"/>
        </w:rPr>
        <w:t>目  录</w:t>
      </w:r>
      <w:r>
        <w:rPr>
          <w:rFonts w:hint="eastAsia" w:ascii="宋体" w:hAnsi="宋体" w:cs="宋体"/>
          <w:color w:val="auto"/>
          <w:sz w:val="24"/>
        </w:rPr>
        <w:fldChar w:fldCharType="end"/>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一、施工组织设计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二、图表及格式要求</w:t>
      </w:r>
    </w:p>
    <w:p>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第三册  已标价工程量清单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已标价工程量清单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3.1.2 投标须知前附表规定不接受联合体投标的，或投标人没有组成联合体的，投标文件不包括本章第3.1.1中的联合体协议书。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3.1.3 投标须知前附表未要求提交投标保证金的，投标文件不包括本章第 3.1.1所指的投标保证金。</w:t>
      </w:r>
    </w:p>
    <w:p>
      <w:pPr>
        <w:pStyle w:val="5"/>
        <w:ind w:firstLine="482"/>
        <w:rPr>
          <w:color w:val="auto"/>
          <w:sz w:val="21"/>
        </w:rPr>
      </w:pPr>
      <w:bookmarkStart w:id="533" w:name="_Toc152045548"/>
      <w:bookmarkStart w:id="534" w:name="_Toc14824"/>
      <w:bookmarkStart w:id="535" w:name="_Toc152042324"/>
      <w:bookmarkStart w:id="536" w:name="_Toc246996936"/>
      <w:bookmarkStart w:id="537" w:name="_Toc13587"/>
      <w:bookmarkStart w:id="538" w:name="_Toc27534"/>
      <w:bookmarkStart w:id="539" w:name="_Toc26500"/>
      <w:bookmarkStart w:id="540" w:name="_Toc124612929"/>
      <w:bookmarkStart w:id="541" w:name="_Toc4078326"/>
      <w:bookmarkStart w:id="542" w:name="_Toc144974516"/>
      <w:bookmarkStart w:id="543" w:name="_Toc179632566"/>
      <w:bookmarkStart w:id="544" w:name="_Toc26068"/>
      <w:bookmarkStart w:id="545" w:name="_Toc9471"/>
      <w:bookmarkStart w:id="546" w:name="_Toc30264"/>
      <w:bookmarkStart w:id="547" w:name="_Toc119872495"/>
      <w:bookmarkStart w:id="548" w:name="_Toc246996193"/>
      <w:bookmarkStart w:id="549" w:name="_Toc247085707"/>
      <w:r>
        <w:rPr>
          <w:rFonts w:hint="eastAsia"/>
          <w:color w:val="auto"/>
        </w:rPr>
        <w:t>3.2 投标报价</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3.2.1 投标人应按第六章“工程量清单”和第九章“投标文件格式”的要求填写相应表格。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 投标人在投标截止时间前修改投标函中的投标报价总额，应同时修改“已标价工程量清单”中的相应报价，投标报价总额为各分项金额之和。此修改须符合本章第4.3款的有关要求。</w:t>
      </w:r>
      <w:bookmarkStart w:id="550" w:name="_Toc152042325"/>
      <w:bookmarkStart w:id="551" w:name="_Toc152045549"/>
      <w:bookmarkStart w:id="552" w:name="_Toc179632567"/>
      <w:bookmarkStart w:id="553" w:name="_Toc14497451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 招标人设有最高投标限价的，投标人的投标报价不得超过最高投标限价，最高投标限价或其计算方法在投标须知前附表中载明。</w:t>
      </w:r>
    </w:p>
    <w:p>
      <w:pPr>
        <w:pStyle w:val="5"/>
        <w:ind w:firstLine="482"/>
        <w:rPr>
          <w:color w:val="auto"/>
        </w:rPr>
      </w:pPr>
      <w:bookmarkStart w:id="554" w:name="_Toc246996937"/>
      <w:bookmarkStart w:id="555" w:name="_Toc29836"/>
      <w:bookmarkStart w:id="556" w:name="_Toc10391"/>
      <w:bookmarkStart w:id="557" w:name="_Toc124612930"/>
      <w:bookmarkStart w:id="558" w:name="_Toc4078327"/>
      <w:bookmarkStart w:id="559" w:name="_Toc246996194"/>
      <w:bookmarkStart w:id="560" w:name="_Toc10868"/>
      <w:bookmarkStart w:id="561" w:name="_Toc247085708"/>
      <w:bookmarkStart w:id="562" w:name="_Toc6048"/>
      <w:bookmarkStart w:id="563" w:name="_Toc235"/>
      <w:bookmarkStart w:id="564" w:name="_Toc28317"/>
      <w:bookmarkStart w:id="565" w:name="_Toc119872496"/>
      <w:bookmarkStart w:id="566" w:name="_Toc295"/>
      <w:r>
        <w:rPr>
          <w:rFonts w:hint="eastAsia"/>
          <w:color w:val="auto"/>
        </w:rPr>
        <w:t>3.3 投标有效期</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3.3.1 在投标须知前附表规定的投标有效期内，投标人不得要求撤销或修改其投标文件。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w:t>
      </w:r>
      <w:r>
        <w:rPr>
          <w:rFonts w:ascii="宋体" w:hAnsi="宋体" w:cs="宋体"/>
          <w:color w:val="auto"/>
          <w:sz w:val="24"/>
        </w:rPr>
        <w:t>2</w:t>
      </w:r>
      <w:r>
        <w:rPr>
          <w:rFonts w:hint="eastAsia" w:ascii="宋体" w:hAnsi="宋体" w:cs="宋体"/>
          <w:color w:val="auto"/>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ind w:firstLine="482"/>
        <w:rPr>
          <w:color w:val="auto"/>
        </w:rPr>
      </w:pPr>
      <w:bookmarkStart w:id="567" w:name="_Toc119872497"/>
      <w:bookmarkStart w:id="568" w:name="_Toc12702"/>
      <w:bookmarkStart w:id="569" w:name="_Toc6449"/>
      <w:bookmarkStart w:id="570" w:name="_Toc21787"/>
      <w:bookmarkStart w:id="571" w:name="_Toc144974518"/>
      <w:bookmarkStart w:id="572" w:name="_Toc124612931"/>
      <w:bookmarkStart w:id="573" w:name="_Toc7915"/>
      <w:bookmarkStart w:id="574" w:name="_Toc4078328"/>
      <w:bookmarkStart w:id="575" w:name="_Toc19336"/>
      <w:bookmarkStart w:id="576" w:name="_Toc179632568"/>
      <w:bookmarkStart w:id="577" w:name="_Toc152045550"/>
      <w:bookmarkStart w:id="578" w:name="_Toc152042326"/>
      <w:bookmarkStart w:id="579" w:name="_Toc246996938"/>
      <w:bookmarkStart w:id="580" w:name="_Toc6168"/>
      <w:bookmarkStart w:id="581" w:name="_Toc247085709"/>
      <w:bookmarkStart w:id="582" w:name="_Toc17870"/>
      <w:bookmarkStart w:id="583" w:name="_Toc246996195"/>
      <w:r>
        <w:rPr>
          <w:rFonts w:hint="eastAsia"/>
          <w:color w:val="auto"/>
        </w:rPr>
        <w:t>3.4 投标保证金</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3.4.1 投标须知前附表规定递交投标保证金的，投标人在递交投标文件的同时，应按投标须知前附表规定的金额、担保形式和第九章“投标文件格式”规定的或者事先经过招标人认可的投标保证金格式递交投标保证金，并作为其投标文件的组成部分。以联合体形式投标的，投标保证金由联合体牵头人缴纳。</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3.4.2 投标人不按本章第3.4.1项要求提交投标保证金的，评标委员会将否决其投标。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3.4.3投标保证金按投标须知前附表3.4.1规定退还。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3.4.4 有下列情形之一的，投标保证金将不予退还：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（1）投标人在规定的投标有效期内撤销或修改其投标文件；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（2）中标人在收到中标通知书后，无正当理由不与招标人订立合同，在签订合同时向招标人提出附加条件，或者不按照招标文件要求提交履约担保。</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（3）投标人有围标串标行为或采用不正当的手段骗取中标。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（4）发生投标须知前附表规定的其他可以不予退还投标保证金的情形。</w:t>
      </w:r>
    </w:p>
    <w:p>
      <w:pPr>
        <w:pStyle w:val="5"/>
        <w:ind w:firstLine="482"/>
        <w:rPr>
          <w:color w:val="auto"/>
        </w:rPr>
      </w:pPr>
      <w:bookmarkStart w:id="584" w:name="_Toc13943"/>
      <w:bookmarkStart w:id="585" w:name="_Toc4078329"/>
      <w:bookmarkStart w:id="586" w:name="_Toc246996196"/>
      <w:bookmarkStart w:id="587" w:name="_Toc119872498"/>
      <w:bookmarkStart w:id="588" w:name="_Toc2005"/>
      <w:bookmarkStart w:id="589" w:name="_Toc19636"/>
      <w:bookmarkStart w:id="590" w:name="_Toc17202"/>
      <w:bookmarkStart w:id="591" w:name="_Toc124612932"/>
      <w:bookmarkStart w:id="592" w:name="_Toc6323"/>
      <w:bookmarkStart w:id="593" w:name="_Toc7787"/>
      <w:bookmarkStart w:id="594" w:name="_Toc179632570"/>
      <w:bookmarkStart w:id="595" w:name="_Toc152045552"/>
      <w:bookmarkStart w:id="596" w:name="_Toc23447"/>
      <w:bookmarkStart w:id="597" w:name="_Toc246996939"/>
      <w:bookmarkStart w:id="598" w:name="_Toc152042328"/>
      <w:bookmarkStart w:id="599" w:name="_Toc247085710"/>
      <w:bookmarkStart w:id="600" w:name="_Toc144974520"/>
      <w:r>
        <w:rPr>
          <w:rFonts w:hint="eastAsia"/>
          <w:color w:val="auto"/>
        </w:rPr>
        <w:t>3.5 资格审查资料</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3.5.1 “投标人基本情况表”应附投标人营业执照副本、资质证书和安全生产许可证等材料的复印件；在惠州市建筑业信用信息平台办理并通过信用信息录入的网页打印件；</w:t>
      </w:r>
      <w:r>
        <w:rPr>
          <w:rFonts w:hint="eastAsia" w:ascii="宋体" w:hAnsi="宋体" w:cs="宋体"/>
          <w:color w:val="auto"/>
          <w:kern w:val="0"/>
          <w:sz w:val="24"/>
          <w:lang w:val="zh-CN"/>
        </w:rPr>
        <w:t>在中国执行信息公开网</w:t>
      </w:r>
      <w:r>
        <w:rPr>
          <w:rFonts w:hint="eastAsia" w:ascii="宋体" w:hAnsi="宋体" w:cs="宋体"/>
          <w:color w:val="auto"/>
          <w:kern w:val="0"/>
          <w:sz w:val="24"/>
        </w:rPr>
        <w:t>（http://zxgk.court.gov.cn/shixin/）</w:t>
      </w:r>
      <w:r>
        <w:rPr>
          <w:rFonts w:hint="eastAsia" w:ascii="宋体" w:hAnsi="宋体" w:cs="宋体"/>
          <w:color w:val="auto"/>
          <w:kern w:val="0"/>
          <w:sz w:val="24"/>
          <w:lang w:val="zh-CN"/>
        </w:rPr>
        <w:t>未列入失信被执行人、信用中国网站</w:t>
      </w:r>
      <w:r>
        <w:rPr>
          <w:rFonts w:hint="eastAsia" w:ascii="宋体" w:hAnsi="宋体" w:cs="宋体"/>
          <w:color w:val="auto"/>
          <w:kern w:val="0"/>
          <w:sz w:val="24"/>
        </w:rPr>
        <w:t>（www.creditchina.gov.cn）</w:t>
      </w:r>
      <w:r>
        <w:rPr>
          <w:rFonts w:hint="eastAsia" w:ascii="宋体" w:hAnsi="宋体"/>
          <w:color w:val="auto"/>
          <w:kern w:val="0"/>
          <w:sz w:val="24"/>
        </w:rPr>
        <w:t>未列入</w:t>
      </w:r>
      <w:r>
        <w:rPr>
          <w:rFonts w:hint="eastAsia" w:ascii="宋体" w:hAnsi="宋体" w:cs="宋体"/>
          <w:color w:val="auto"/>
          <w:kern w:val="0"/>
          <w:sz w:val="24"/>
          <w:lang w:val="zh-CN"/>
        </w:rPr>
        <w:t>重大税收违法失信主体以及</w:t>
      </w:r>
      <w:r>
        <w:rPr>
          <w:rFonts w:hint="eastAsia" w:ascii="宋体" w:hAnsi="宋体" w:cs="宋体"/>
          <w:color w:val="auto"/>
          <w:sz w:val="24"/>
        </w:rPr>
        <w:t>在国家企业信用信息公示系统（http://www.gsxt.gov.cn/index.html）未列入严重违法失信名单（黑名单）的证明材料。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3.5.2 “项目管理机构组成”应附投标人拟派驻的项目班子成员相应证明资料复印件；在惠州市建筑业信用信息平台录入的对应岗位人员证明的网页打印件。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3.5.3“近年完成的类似项目情况表”应附中标通知书和（或）合同协议书和（或）工程接收证书（工程竣工验收证书）复印件，具体年份要求见投标须知前附表。每张表格只填写一个项目，并标明序号。（如有要求）</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3.5.4 投标须知前附表规定接受联合体投标的，本章第3.5.1项规定的资料应包括联合体各方相关情况。</w:t>
      </w:r>
    </w:p>
    <w:p>
      <w:pPr>
        <w:pStyle w:val="5"/>
        <w:ind w:firstLine="482"/>
        <w:rPr>
          <w:color w:val="auto"/>
        </w:rPr>
      </w:pPr>
      <w:bookmarkStart w:id="601" w:name="_Toc9173"/>
      <w:bookmarkStart w:id="602" w:name="_Toc5502"/>
      <w:bookmarkStart w:id="603" w:name="_Toc11625"/>
      <w:bookmarkStart w:id="604" w:name="_Toc23606"/>
      <w:bookmarkStart w:id="605" w:name="_Toc124612933"/>
      <w:bookmarkStart w:id="606" w:name="_Toc4078330"/>
      <w:bookmarkStart w:id="607" w:name="_Toc119872499"/>
      <w:bookmarkStart w:id="608" w:name="_Toc1798"/>
      <w:bookmarkStart w:id="609" w:name="_Toc21112"/>
      <w:bookmarkStart w:id="610" w:name="_Toc23347"/>
      <w:bookmarkStart w:id="611" w:name="_Toc144974521"/>
      <w:bookmarkStart w:id="612" w:name="_Toc247085711"/>
      <w:bookmarkStart w:id="613" w:name="_Toc152045553"/>
      <w:bookmarkStart w:id="614" w:name="_Toc246996197"/>
      <w:bookmarkStart w:id="615" w:name="_Toc179632571"/>
      <w:bookmarkStart w:id="616" w:name="_Toc246996940"/>
      <w:bookmarkStart w:id="617" w:name="_Toc152042329"/>
      <w:r>
        <w:rPr>
          <w:rFonts w:hint="eastAsia"/>
          <w:color w:val="auto"/>
        </w:rPr>
        <w:t>3.6投标文件的编制</w:t>
      </w:r>
      <w:bookmarkEnd w:id="601"/>
      <w:bookmarkEnd w:id="602"/>
      <w:bookmarkEnd w:id="603"/>
      <w:bookmarkEnd w:id="604"/>
      <w:bookmarkEnd w:id="605"/>
      <w:bookmarkEnd w:id="606"/>
      <w:bookmarkEnd w:id="607"/>
      <w:bookmarkEnd w:id="608"/>
      <w:bookmarkEnd w:id="609"/>
      <w:bookmarkEnd w:id="61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3.6.1投标文件应按第九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3.6.2 投标文件应当对招标文件有关工期、投标有效期、质量要求、技术标准和要求、招标范围及工作内容等实质性内容作出响应。</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3.6.3投标文件应按投标须知前附表的要求完成电子签章和电子签名。</w:t>
      </w:r>
    </w:p>
    <w:bookmarkEnd w:id="611"/>
    <w:bookmarkEnd w:id="612"/>
    <w:bookmarkEnd w:id="613"/>
    <w:bookmarkEnd w:id="614"/>
    <w:bookmarkEnd w:id="615"/>
    <w:bookmarkEnd w:id="616"/>
    <w:bookmarkEnd w:id="617"/>
    <w:p>
      <w:pPr>
        <w:adjustRightInd w:val="0"/>
        <w:snapToGrid w:val="0"/>
        <w:spacing w:line="360" w:lineRule="auto"/>
        <w:ind w:firstLine="480" w:firstLineChars="200"/>
        <w:rPr>
          <w:rFonts w:ascii="宋体" w:hAnsi="宋体" w:cs="宋体"/>
          <w:color w:val="auto"/>
          <w:sz w:val="24"/>
        </w:rPr>
      </w:pPr>
      <w:bookmarkStart w:id="618" w:name="_Toc152042331"/>
      <w:bookmarkStart w:id="619" w:name="_Toc144974523"/>
      <w:bookmarkStart w:id="620" w:name="_Toc246996199"/>
      <w:bookmarkStart w:id="621" w:name="_Toc152045555"/>
      <w:bookmarkStart w:id="622" w:name="_Toc247085713"/>
      <w:bookmarkStart w:id="623" w:name="_Toc179632573"/>
      <w:bookmarkStart w:id="624" w:name="_Toc246996942"/>
      <w:r>
        <w:rPr>
          <w:rFonts w:hint="eastAsia" w:ascii="宋体" w:hAnsi="宋体" w:cs="宋体"/>
          <w:color w:val="auto"/>
          <w:sz w:val="24"/>
        </w:rPr>
        <w:t>3.6.4 投标文件递交要求见投标须知前附表。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3.6.5 投标文件的正本与副本应分别装订成册，具体装订要求见投标须知前附表规定。</w:t>
      </w:r>
    </w:p>
    <w:p>
      <w:pPr>
        <w:pStyle w:val="4"/>
        <w:ind w:firstLine="482"/>
        <w:rPr>
          <w:color w:val="auto"/>
        </w:rPr>
      </w:pPr>
      <w:bookmarkStart w:id="625" w:name="_Toc5635"/>
      <w:bookmarkStart w:id="626" w:name="_Toc30474"/>
      <w:bookmarkStart w:id="627" w:name="_Toc6450"/>
      <w:bookmarkStart w:id="628" w:name="_Toc12047"/>
      <w:bookmarkStart w:id="629" w:name="_Toc4078331"/>
      <w:bookmarkStart w:id="630" w:name="_Toc8301"/>
      <w:bookmarkStart w:id="631" w:name="_Toc21876"/>
      <w:bookmarkStart w:id="632" w:name="_Toc21713"/>
      <w:bookmarkStart w:id="633" w:name="_Toc119872500"/>
      <w:bookmarkStart w:id="634" w:name="_Toc124612934"/>
      <w:r>
        <w:rPr>
          <w:rFonts w:hint="eastAsia"/>
          <w:color w:val="auto"/>
        </w:rPr>
        <w:t>4. 投标</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5"/>
        <w:ind w:firstLine="482"/>
        <w:rPr>
          <w:color w:val="auto"/>
        </w:rPr>
      </w:pPr>
      <w:bookmarkStart w:id="635" w:name="_Toc3025"/>
      <w:bookmarkStart w:id="636" w:name="_Toc179632574"/>
      <w:bookmarkStart w:id="637" w:name="_Toc119872501"/>
      <w:bookmarkStart w:id="638" w:name="_Toc1733"/>
      <w:bookmarkStart w:id="639" w:name="_Toc31557"/>
      <w:bookmarkStart w:id="640" w:name="_Toc247085714"/>
      <w:bookmarkStart w:id="641" w:name="_Toc152045556"/>
      <w:bookmarkStart w:id="642" w:name="_Toc4189"/>
      <w:bookmarkStart w:id="643" w:name="_Toc124612935"/>
      <w:bookmarkStart w:id="644" w:name="_Toc246996943"/>
      <w:bookmarkStart w:id="645" w:name="_Toc13910"/>
      <w:bookmarkStart w:id="646" w:name="_Toc246996200"/>
      <w:bookmarkStart w:id="647" w:name="_Toc4078332"/>
      <w:bookmarkStart w:id="648" w:name="_Toc144974524"/>
      <w:bookmarkStart w:id="649" w:name="_Toc15155"/>
      <w:bookmarkStart w:id="650" w:name="_Toc152042332"/>
      <w:bookmarkStart w:id="651" w:name="_Toc17864"/>
      <w:r>
        <w:rPr>
          <w:rFonts w:hint="eastAsia"/>
          <w:color w:val="auto"/>
        </w:rPr>
        <w:t>4.1 投标文件的密封和标记</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adjustRightInd w:val="0"/>
        <w:snapToGrid w:val="0"/>
        <w:spacing w:line="360" w:lineRule="auto"/>
        <w:ind w:firstLine="480" w:firstLineChars="200"/>
        <w:rPr>
          <w:rFonts w:ascii="宋体" w:hAnsi="宋体" w:cs="宋体"/>
          <w:color w:val="auto"/>
          <w:sz w:val="24"/>
        </w:rPr>
      </w:pPr>
      <w:bookmarkStart w:id="652" w:name="_Toc144974525"/>
      <w:bookmarkStart w:id="653" w:name="_Toc247085715"/>
      <w:bookmarkStart w:id="654" w:name="_Toc152042333"/>
      <w:bookmarkStart w:id="655" w:name="_Toc152045557"/>
      <w:bookmarkStart w:id="656" w:name="_Toc246996201"/>
      <w:bookmarkStart w:id="657" w:name="_Toc246996944"/>
      <w:bookmarkStart w:id="658" w:name="_Toc179632575"/>
      <w:r>
        <w:rPr>
          <w:rFonts w:hint="eastAsia" w:ascii="宋体" w:hAnsi="宋体" w:cs="宋体"/>
          <w:color w:val="auto"/>
          <w:sz w:val="24"/>
        </w:rPr>
        <w:t>4.1.1 根据惠州市公共资源交易中心启用建设工程招标投标交易平台电子评标功能的相关规定，投标人在开评标阶段无需递交书面投标文件。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4.1.2 投标文件封套上应写明的内容见</w:t>
      </w:r>
      <w:bookmarkStart w:id="659" w:name="_Hlk124156580"/>
      <w:r>
        <w:rPr>
          <w:rFonts w:hint="eastAsia" w:ascii="宋体" w:hAnsi="宋体" w:cs="宋体"/>
          <w:color w:val="auto"/>
          <w:sz w:val="24"/>
        </w:rPr>
        <w:t>投标须知前附表</w:t>
      </w:r>
      <w:bookmarkEnd w:id="659"/>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4.1.3需要投标人递交原件资料核查的要求见投标须知前附表。</w:t>
      </w:r>
    </w:p>
    <w:p>
      <w:pPr>
        <w:pStyle w:val="5"/>
        <w:ind w:firstLine="482"/>
        <w:rPr>
          <w:color w:val="auto"/>
        </w:rPr>
      </w:pPr>
      <w:bookmarkStart w:id="660" w:name="_Toc6998"/>
      <w:bookmarkStart w:id="661" w:name="_Toc23711"/>
      <w:bookmarkStart w:id="662" w:name="_Toc29977"/>
      <w:bookmarkStart w:id="663" w:name="_Toc7867"/>
      <w:bookmarkStart w:id="664" w:name="_Toc4078333"/>
      <w:bookmarkStart w:id="665" w:name="_Toc124612936"/>
      <w:bookmarkStart w:id="666" w:name="_Toc119872502"/>
      <w:bookmarkStart w:id="667" w:name="_Toc29087"/>
      <w:bookmarkStart w:id="668" w:name="_Toc18342"/>
      <w:bookmarkStart w:id="669" w:name="_Toc18202"/>
      <w:r>
        <w:rPr>
          <w:rFonts w:hint="eastAsia"/>
          <w:color w:val="auto"/>
        </w:rPr>
        <w:t>4.2 投标文件的递交</w:t>
      </w:r>
      <w:bookmarkEnd w:id="652"/>
      <w:bookmarkEnd w:id="653"/>
      <w:bookmarkEnd w:id="654"/>
      <w:bookmarkEnd w:id="655"/>
      <w:bookmarkEnd w:id="656"/>
      <w:bookmarkEnd w:id="657"/>
      <w:bookmarkEnd w:id="658"/>
      <w:bookmarkEnd w:id="660"/>
      <w:bookmarkEnd w:id="661"/>
      <w:bookmarkEnd w:id="662"/>
      <w:bookmarkEnd w:id="663"/>
      <w:bookmarkEnd w:id="664"/>
      <w:bookmarkEnd w:id="665"/>
      <w:bookmarkEnd w:id="666"/>
      <w:bookmarkEnd w:id="667"/>
      <w:bookmarkEnd w:id="668"/>
      <w:bookmarkEnd w:id="66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4.2.1 投标人应在投标须知前附表规定的投标截止时间前提交投标文件。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4.2.2 </w:t>
      </w:r>
      <w:r>
        <w:rPr>
          <w:rFonts w:hint="eastAsia" w:ascii="宋体" w:hAnsi="宋体"/>
          <w:color w:val="auto"/>
          <w:sz w:val="24"/>
        </w:rPr>
        <w:t>投标人递交投标文件的地点：见投标须知前附表。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4.2.3 除投标须知前附表另有规定外，投标人所提交的投标文件不予退还。</w:t>
      </w:r>
    </w:p>
    <w:p>
      <w:pPr>
        <w:adjustRightInd w:val="0"/>
        <w:snapToGrid w:val="0"/>
        <w:spacing w:line="360" w:lineRule="auto"/>
        <w:ind w:firstLine="480" w:firstLineChars="200"/>
        <w:rPr>
          <w:rFonts w:ascii="宋体" w:hAnsi="宋体"/>
          <w:color w:val="auto"/>
          <w:sz w:val="24"/>
        </w:rPr>
      </w:pPr>
      <w:r>
        <w:rPr>
          <w:rFonts w:ascii="宋体" w:hAnsi="宋体"/>
          <w:color w:val="auto"/>
          <w:sz w:val="24"/>
        </w:rPr>
        <w:t>4.2.4</w:t>
      </w:r>
      <w:r>
        <w:rPr>
          <w:rFonts w:hint="eastAsia" w:ascii="宋体" w:hAnsi="宋体"/>
          <w:color w:val="auto"/>
          <w:sz w:val="24"/>
        </w:rPr>
        <w:t>逾期送达的或者未送达指定地点的投标文件，招标人不予受理。</w:t>
      </w:r>
    </w:p>
    <w:p>
      <w:pPr>
        <w:pStyle w:val="5"/>
        <w:ind w:firstLine="482"/>
        <w:rPr>
          <w:color w:val="auto"/>
        </w:rPr>
      </w:pPr>
      <w:bookmarkStart w:id="670" w:name="_Toc30941"/>
      <w:bookmarkStart w:id="671" w:name="_Toc32149"/>
      <w:bookmarkStart w:id="672" w:name="_Toc4078334"/>
      <w:bookmarkStart w:id="673" w:name="_Toc124612937"/>
      <w:bookmarkStart w:id="674" w:name="_Toc27591"/>
      <w:bookmarkStart w:id="675" w:name="_Toc246996202"/>
      <w:bookmarkStart w:id="676" w:name="_Toc247085716"/>
      <w:bookmarkStart w:id="677" w:name="_Toc144974526"/>
      <w:bookmarkStart w:id="678" w:name="_Toc31410"/>
      <w:bookmarkStart w:id="679" w:name="_Toc19712"/>
      <w:bookmarkStart w:id="680" w:name="_Toc6093"/>
      <w:bookmarkStart w:id="681" w:name="_Toc14268"/>
      <w:bookmarkStart w:id="682" w:name="_Toc119872503"/>
      <w:bookmarkStart w:id="683" w:name="_Toc246996945"/>
      <w:bookmarkStart w:id="684" w:name="_Toc152045558"/>
      <w:bookmarkStart w:id="685" w:name="_Toc152042334"/>
      <w:bookmarkStart w:id="686" w:name="_Toc179632576"/>
      <w:r>
        <w:rPr>
          <w:rFonts w:hint="eastAsia"/>
          <w:color w:val="auto"/>
        </w:rPr>
        <w:t>4.3 投标文件的修改与撤回</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4.3.1 在投标须知前附表规定的投标截止时间前，投标人可以修改或撤回已提交的投标文件。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4.3.2 </w:t>
      </w:r>
      <w:r>
        <w:rPr>
          <w:rFonts w:hint="eastAsia" w:ascii="宋体" w:hAnsi="宋体"/>
          <w:color w:val="auto"/>
          <w:sz w:val="24"/>
        </w:rPr>
        <w:t>投标人修改</w:t>
      </w:r>
      <w:r>
        <w:rPr>
          <w:rFonts w:hint="eastAsia" w:ascii="宋体" w:hAnsi="宋体" w:cs="宋体"/>
          <w:color w:val="auto"/>
          <w:sz w:val="24"/>
        </w:rPr>
        <w:t>的电子</w:t>
      </w:r>
      <w:r>
        <w:rPr>
          <w:rFonts w:hint="eastAsia" w:ascii="宋体" w:hAnsi="宋体"/>
          <w:color w:val="auto"/>
          <w:sz w:val="24"/>
        </w:rPr>
        <w:t>投标文件</w:t>
      </w:r>
      <w:r>
        <w:rPr>
          <w:rFonts w:hint="eastAsia" w:ascii="宋体" w:hAnsi="宋体" w:cs="宋体"/>
          <w:color w:val="auto"/>
          <w:sz w:val="24"/>
        </w:rPr>
        <w:t>必须在投标须知前附表规定</w:t>
      </w:r>
      <w:r>
        <w:rPr>
          <w:rFonts w:hint="eastAsia" w:ascii="宋体" w:hAnsi="宋体"/>
          <w:color w:val="auto"/>
          <w:sz w:val="24"/>
        </w:rPr>
        <w:t>的</w:t>
      </w:r>
      <w:r>
        <w:rPr>
          <w:rFonts w:hint="eastAsia" w:ascii="宋体" w:hAnsi="宋体" w:cs="宋体"/>
          <w:color w:val="auto"/>
          <w:sz w:val="24"/>
        </w:rPr>
        <w:t>投标截止时间前重新上传，否则交易平台将予以拒收。</w:t>
      </w:r>
    </w:p>
    <w:p>
      <w:pPr>
        <w:pStyle w:val="4"/>
        <w:ind w:firstLine="482"/>
        <w:rPr>
          <w:color w:val="auto"/>
        </w:rPr>
      </w:pPr>
      <w:bookmarkStart w:id="687" w:name="_Toc22033"/>
      <w:bookmarkStart w:id="688" w:name="_Toc152042335"/>
      <w:bookmarkStart w:id="689" w:name="_Toc247085717"/>
      <w:bookmarkStart w:id="690" w:name="_Toc4078335"/>
      <w:bookmarkStart w:id="691" w:name="_Toc144974527"/>
      <w:bookmarkStart w:id="692" w:name="_Toc6338"/>
      <w:bookmarkStart w:id="693" w:name="_Toc26627"/>
      <w:bookmarkStart w:id="694" w:name="_Toc124612938"/>
      <w:bookmarkStart w:id="695" w:name="_Toc5171"/>
      <w:bookmarkStart w:id="696" w:name="_Toc25652"/>
      <w:bookmarkStart w:id="697" w:name="_Toc179632577"/>
      <w:bookmarkStart w:id="698" w:name="_Toc119872504"/>
      <w:bookmarkStart w:id="699" w:name="_Toc152045559"/>
      <w:bookmarkStart w:id="700" w:name="_Toc246996203"/>
      <w:bookmarkStart w:id="701" w:name="_Toc246996946"/>
      <w:bookmarkStart w:id="702" w:name="_Toc23467"/>
      <w:bookmarkStart w:id="703" w:name="_Toc20149"/>
      <w:r>
        <w:rPr>
          <w:rFonts w:hint="eastAsia"/>
          <w:color w:val="auto"/>
        </w:rPr>
        <w:t>5. 开标</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5"/>
        <w:ind w:firstLine="482"/>
        <w:rPr>
          <w:color w:val="auto"/>
        </w:rPr>
      </w:pPr>
      <w:bookmarkStart w:id="704" w:name="_Toc14879"/>
      <w:bookmarkStart w:id="705" w:name="_Toc246996947"/>
      <w:bookmarkStart w:id="706" w:name="_Toc19732"/>
      <w:bookmarkStart w:id="707" w:name="_Toc247085718"/>
      <w:bookmarkStart w:id="708" w:name="_Toc152042336"/>
      <w:bookmarkStart w:id="709" w:name="_Toc119872505"/>
      <w:bookmarkStart w:id="710" w:name="_Toc28461"/>
      <w:bookmarkStart w:id="711" w:name="_Toc4078336"/>
      <w:bookmarkStart w:id="712" w:name="_Toc152045560"/>
      <w:bookmarkStart w:id="713" w:name="_Toc246996204"/>
      <w:bookmarkStart w:id="714" w:name="_Toc27907"/>
      <w:bookmarkStart w:id="715" w:name="_Toc144974528"/>
      <w:bookmarkStart w:id="716" w:name="_Toc9725"/>
      <w:bookmarkStart w:id="717" w:name="_Toc124612939"/>
      <w:bookmarkStart w:id="718" w:name="_Toc30058"/>
      <w:bookmarkStart w:id="719" w:name="_Toc179632578"/>
      <w:bookmarkStart w:id="720" w:name="_Toc28532"/>
      <w:r>
        <w:rPr>
          <w:rFonts w:hint="eastAsia"/>
          <w:color w:val="auto"/>
        </w:rPr>
        <w:t>5.1 开标时间和地点</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招标人在投标须知前附表规定的投标截止时间（开标时间）和投标须知前附表规定的地点公开开标，并邀请所有投标人的法定代表人或其委托代理人准时参加。</w:t>
      </w:r>
    </w:p>
    <w:p>
      <w:pPr>
        <w:pStyle w:val="5"/>
        <w:ind w:firstLine="482"/>
        <w:rPr>
          <w:color w:val="auto"/>
        </w:rPr>
      </w:pPr>
      <w:bookmarkStart w:id="721" w:name="_Toc4078337"/>
      <w:bookmarkStart w:id="722" w:name="_Toc144974529"/>
      <w:bookmarkStart w:id="723" w:name="_Toc247085719"/>
      <w:bookmarkStart w:id="724" w:name="_Toc152042337"/>
      <w:bookmarkStart w:id="725" w:name="_Toc14623"/>
      <w:bookmarkStart w:id="726" w:name="_Toc179632579"/>
      <w:bookmarkStart w:id="727" w:name="_Toc9111"/>
      <w:bookmarkStart w:id="728" w:name="_Toc119872506"/>
      <w:bookmarkStart w:id="729" w:name="_Toc15062"/>
      <w:bookmarkStart w:id="730" w:name="_Toc246996948"/>
      <w:bookmarkStart w:id="731" w:name="_Toc124612940"/>
      <w:bookmarkStart w:id="732" w:name="_Toc152045561"/>
      <w:bookmarkStart w:id="733" w:name="_Toc6783"/>
      <w:bookmarkStart w:id="734" w:name="_Toc246996205"/>
      <w:bookmarkStart w:id="735" w:name="_Toc29539"/>
      <w:bookmarkStart w:id="736" w:name="_Toc25491"/>
      <w:bookmarkStart w:id="737" w:name="_Toc36"/>
      <w:r>
        <w:rPr>
          <w:rFonts w:hint="eastAsia"/>
          <w:color w:val="auto"/>
        </w:rPr>
        <w:t>5.2 开标程序</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主持人按下列程序进行开标：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（1）宣布开标纪律；</w:t>
      </w:r>
    </w:p>
    <w:p>
      <w:pPr>
        <w:adjustRightInd w:val="0"/>
        <w:snapToGrid w:val="0"/>
        <w:spacing w:line="360" w:lineRule="auto"/>
        <w:ind w:firstLine="480" w:firstLineChars="200"/>
        <w:rPr>
          <w:rFonts w:ascii="宋体" w:hAnsi="宋体" w:cs="宋体"/>
          <w:b/>
          <w:color w:val="auto"/>
          <w:sz w:val="24"/>
        </w:rPr>
      </w:pPr>
      <w:r>
        <w:rPr>
          <w:rFonts w:hint="eastAsia" w:ascii="宋体" w:hAnsi="宋体" w:cs="宋体"/>
          <w:color w:val="auto"/>
          <w:sz w:val="24"/>
        </w:rPr>
        <w:t>（2）公布在投标截止时间前递交投标文件的投标人名称，并点名确认投标人是否派人到场；</w:t>
      </w:r>
      <w:r>
        <w:rPr>
          <w:rFonts w:hint="eastAsia" w:ascii="宋体" w:hAnsi="宋体" w:cs="宋体"/>
          <w:b/>
          <w:color w:val="auto"/>
          <w:sz w:val="24"/>
        </w:rPr>
        <w:t xml:space="preserve">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（3）宣布开标人、唱标人、记录人、监标人等有关人员姓名；</w:t>
      </w:r>
    </w:p>
    <w:p>
      <w:pPr>
        <w:adjustRightInd w:val="0"/>
        <w:snapToGrid w:val="0"/>
        <w:spacing w:line="360" w:lineRule="auto"/>
        <w:ind w:firstLine="480" w:firstLineChars="200"/>
        <w:rPr>
          <w:rFonts w:ascii="宋体" w:hAnsi="宋体" w:cs="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w:t>
      </w:r>
      <w:bookmarkStart w:id="738" w:name="_Hlk124681121"/>
      <w:r>
        <w:rPr>
          <w:rFonts w:hint="eastAsia" w:ascii="宋体" w:hAnsi="宋体" w:cs="宋体"/>
          <w:color w:val="auto"/>
          <w:sz w:val="24"/>
        </w:rPr>
        <w:t>招标人</w:t>
      </w:r>
      <w:bookmarkEnd w:id="738"/>
      <w:r>
        <w:rPr>
          <w:rFonts w:hint="eastAsia" w:ascii="宋体" w:hAnsi="宋体" w:cs="宋体"/>
          <w:color w:val="auto"/>
          <w:sz w:val="24"/>
        </w:rPr>
        <w:t>通过电子招标</w:t>
      </w:r>
      <w:r>
        <w:rPr>
          <w:rFonts w:hint="eastAsia" w:ascii="宋体" w:hAnsi="宋体"/>
          <w:color w:val="auto"/>
          <w:sz w:val="24"/>
        </w:rPr>
        <w:t>投标</w:t>
      </w:r>
      <w:r>
        <w:rPr>
          <w:rFonts w:hint="eastAsia" w:ascii="宋体" w:hAnsi="宋体" w:cs="宋体"/>
          <w:color w:val="auto"/>
          <w:sz w:val="24"/>
        </w:rPr>
        <w:t>交易平台对已递交的电子</w:t>
      </w:r>
      <w:r>
        <w:rPr>
          <w:rFonts w:hint="eastAsia" w:ascii="宋体" w:hAnsi="宋体"/>
          <w:color w:val="auto"/>
          <w:sz w:val="24"/>
        </w:rPr>
        <w:t>投标文件</w:t>
      </w:r>
      <w:r>
        <w:rPr>
          <w:rFonts w:hint="eastAsia" w:ascii="宋体" w:hAnsi="宋体" w:cs="宋体"/>
          <w:color w:val="auto"/>
          <w:sz w:val="24"/>
        </w:rPr>
        <w:t>进行解密</w:t>
      </w:r>
      <w:r>
        <w:rPr>
          <w:rFonts w:hint="eastAsia" w:ascii="宋体" w:hAnsi="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（5）按照投标须知前附表的规定确定并宣布投标文件开标顺序；</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（6）设有标底的，公布标底；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（7）按照宣布的开标顺序当众开标，公布投标人名称、投标保证金的递交情况、投标报价、质量目标、工期及其他内容，并记录在案；</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（8）规定最高投标限价计算方法的，计算并公布最高投标限价；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（9）在开标时，投标文件出现下列情形之一的，应当作为无效投标文件，不得进入评标：</w:t>
      </w:r>
    </w:p>
    <w:p>
      <w:pPr>
        <w:adjustRightInd w:val="0"/>
        <w:snapToGrid w:val="0"/>
        <w:spacing w:line="360" w:lineRule="auto"/>
        <w:ind w:firstLine="480" w:firstLineChars="200"/>
        <w:rPr>
          <w:rFonts w:ascii="宋体" w:hAnsi="宋体" w:cs="宋体"/>
          <w:color w:val="auto"/>
          <w:sz w:val="24"/>
        </w:rPr>
      </w:pPr>
      <w:r>
        <w:rPr>
          <w:rFonts w:ascii="宋体" w:hAnsi="宋体"/>
          <w:color w:val="auto"/>
          <w:sz w:val="24"/>
        </w:rPr>
        <w:t>a.</w:t>
      </w:r>
      <w:r>
        <w:rPr>
          <w:rFonts w:hint="eastAsia" w:ascii="宋体" w:hAnsi="宋体" w:cs="宋体"/>
          <w:bCs/>
          <w:color w:val="auto"/>
          <w:sz w:val="24"/>
        </w:rPr>
        <w:t>投标文件中未按规定进行电子签章、电子签名和亲笔签名的</w:t>
      </w:r>
      <w:r>
        <w:rPr>
          <w:rFonts w:hint="eastAsia" w:ascii="宋体" w:hAnsi="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b. 投标文件的关键内容字迹模糊、无法辨认的；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c. 投标人未按照招标文件的要求提供投标保证金的；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d. 组成联合体投标的，投标文件未附联合体协议书的。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（10）投标人代表、招标人代表、监标人、记录人等有关人员在开标记录上签字确认；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（11）开标结束。</w:t>
      </w:r>
    </w:p>
    <w:p>
      <w:pPr>
        <w:pStyle w:val="5"/>
        <w:ind w:firstLine="482"/>
        <w:rPr>
          <w:color w:val="auto"/>
        </w:rPr>
      </w:pPr>
      <w:bookmarkStart w:id="739" w:name="_Toc12842"/>
      <w:bookmarkStart w:id="740" w:name="_Toc119872507"/>
      <w:bookmarkStart w:id="741" w:name="_Toc20958"/>
      <w:bookmarkStart w:id="742" w:name="_Toc124612941"/>
      <w:bookmarkStart w:id="743" w:name="_Toc31673"/>
      <w:bookmarkStart w:id="744" w:name="_Toc6741"/>
      <w:bookmarkStart w:id="745" w:name="_Toc5801"/>
      <w:bookmarkStart w:id="746" w:name="_Toc19596"/>
      <w:bookmarkStart w:id="747" w:name="_Toc4078338"/>
      <w:bookmarkStart w:id="748" w:name="_Toc2192"/>
      <w:r>
        <w:rPr>
          <w:rFonts w:hint="eastAsia"/>
          <w:color w:val="auto"/>
        </w:rPr>
        <w:t>5.3 开标异议</w:t>
      </w:r>
      <w:bookmarkEnd w:id="739"/>
      <w:bookmarkEnd w:id="740"/>
      <w:bookmarkEnd w:id="741"/>
      <w:bookmarkEnd w:id="742"/>
      <w:bookmarkEnd w:id="743"/>
      <w:bookmarkEnd w:id="744"/>
      <w:bookmarkEnd w:id="745"/>
      <w:bookmarkEnd w:id="746"/>
      <w:bookmarkEnd w:id="747"/>
      <w:bookmarkEnd w:id="74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投标人对开标有异议的，应当在开标现场提出，招标人当场作出答复，并制作记录。异议成立的，招标人应当及时采取纠正措施，或者提交评标委员会评审确认。</w:t>
      </w:r>
    </w:p>
    <w:p>
      <w:pPr>
        <w:pStyle w:val="4"/>
        <w:ind w:firstLine="482"/>
        <w:rPr>
          <w:color w:val="auto"/>
        </w:rPr>
      </w:pPr>
      <w:bookmarkStart w:id="749" w:name="_Toc247085720"/>
      <w:bookmarkStart w:id="750" w:name="_Toc246996949"/>
      <w:bookmarkStart w:id="751" w:name="_Toc4796"/>
      <w:bookmarkStart w:id="752" w:name="_Toc4078339"/>
      <w:bookmarkStart w:id="753" w:name="_Toc27552"/>
      <w:bookmarkStart w:id="754" w:name="_Toc119872508"/>
      <w:bookmarkStart w:id="755" w:name="_Toc152042338"/>
      <w:bookmarkStart w:id="756" w:name="_Toc25293"/>
      <w:bookmarkStart w:id="757" w:name="_Toc152045562"/>
      <w:bookmarkStart w:id="758" w:name="_Toc144974530"/>
      <w:bookmarkStart w:id="759" w:name="_Toc246996206"/>
      <w:bookmarkStart w:id="760" w:name="_Toc179632580"/>
      <w:bookmarkStart w:id="761" w:name="_Toc124612942"/>
      <w:bookmarkStart w:id="762" w:name="_Toc32652"/>
      <w:bookmarkStart w:id="763" w:name="_Toc6745"/>
      <w:bookmarkStart w:id="764" w:name="_Toc10000"/>
      <w:bookmarkStart w:id="765" w:name="_Toc8357"/>
      <w:r>
        <w:rPr>
          <w:rFonts w:hint="eastAsia"/>
          <w:color w:val="auto"/>
        </w:rPr>
        <w:t>6. 评标</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pStyle w:val="5"/>
        <w:ind w:firstLine="482"/>
        <w:rPr>
          <w:color w:val="auto"/>
        </w:rPr>
      </w:pPr>
      <w:bookmarkStart w:id="766" w:name="_Toc29567"/>
      <w:bookmarkStart w:id="767" w:name="_Toc247085721"/>
      <w:bookmarkStart w:id="768" w:name="_Toc246996207"/>
      <w:bookmarkStart w:id="769" w:name="_Toc13727"/>
      <w:bookmarkStart w:id="770" w:name="_Toc119872509"/>
      <w:bookmarkStart w:id="771" w:name="_Toc124612943"/>
      <w:bookmarkStart w:id="772" w:name="_Toc25772"/>
      <w:bookmarkStart w:id="773" w:name="_Toc144974531"/>
      <w:bookmarkStart w:id="774" w:name="_Toc4078340"/>
      <w:bookmarkStart w:id="775" w:name="_Toc152045563"/>
      <w:bookmarkStart w:id="776" w:name="_Toc11034"/>
      <w:bookmarkStart w:id="777" w:name="_Toc18000"/>
      <w:bookmarkStart w:id="778" w:name="_Toc246996950"/>
      <w:bookmarkStart w:id="779" w:name="_Toc179632581"/>
      <w:bookmarkStart w:id="780" w:name="_Toc16324"/>
      <w:bookmarkStart w:id="781" w:name="_Toc152042339"/>
      <w:bookmarkStart w:id="782" w:name="_Toc18846"/>
      <w:r>
        <w:rPr>
          <w:rFonts w:hint="eastAsia"/>
          <w:color w:val="auto"/>
        </w:rPr>
        <w:t>6.1 评标委员会</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6.1.2 评标委员会成员有下列情形之一的，应当回避：</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（1）投标人或投标人主要负责人的近亲属；</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（2）项目主管部门或者行政监督部门的人员；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（3）与投标人有经济利益关系；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（4）曾因在招标、评标以及其他与招标投标有关活动中从事违法行为而受过行政处罚或刑事处罚的；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（5）与投标人有其他利害关系。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ind w:firstLine="482"/>
        <w:rPr>
          <w:color w:val="auto"/>
        </w:rPr>
      </w:pPr>
      <w:bookmarkStart w:id="783" w:name="_Toc179632582"/>
      <w:bookmarkStart w:id="784" w:name="_Toc15662"/>
      <w:bookmarkStart w:id="785" w:name="_Toc246996951"/>
      <w:bookmarkStart w:id="786" w:name="_Toc124612944"/>
      <w:bookmarkStart w:id="787" w:name="_Toc247085722"/>
      <w:bookmarkStart w:id="788" w:name="_Toc30878"/>
      <w:bookmarkStart w:id="789" w:name="_Toc4078341"/>
      <w:bookmarkStart w:id="790" w:name="_Toc152042340"/>
      <w:bookmarkStart w:id="791" w:name="_Toc8536"/>
      <w:bookmarkStart w:id="792" w:name="_Toc144974532"/>
      <w:bookmarkStart w:id="793" w:name="_Toc14345"/>
      <w:bookmarkStart w:id="794" w:name="_Toc246996208"/>
      <w:bookmarkStart w:id="795" w:name="_Toc119872510"/>
      <w:bookmarkStart w:id="796" w:name="_Toc4969"/>
      <w:bookmarkStart w:id="797" w:name="_Toc152045564"/>
      <w:bookmarkStart w:id="798" w:name="_Toc3116"/>
      <w:bookmarkStart w:id="799" w:name="_Toc26622"/>
      <w:r>
        <w:rPr>
          <w:rFonts w:hint="eastAsia"/>
          <w:color w:val="auto"/>
        </w:rPr>
        <w:t>6.2 评标原则</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评标活动遵循公平、公正、科学和择优的原则。</w:t>
      </w:r>
    </w:p>
    <w:p>
      <w:pPr>
        <w:pStyle w:val="5"/>
        <w:ind w:firstLine="482"/>
        <w:rPr>
          <w:color w:val="auto"/>
        </w:rPr>
      </w:pPr>
      <w:bookmarkStart w:id="800" w:name="_Toc16778"/>
      <w:bookmarkStart w:id="801" w:name="_Toc4078342"/>
      <w:bookmarkStart w:id="802" w:name="_Toc119872511"/>
      <w:bookmarkStart w:id="803" w:name="_Toc247085723"/>
      <w:bookmarkStart w:id="804" w:name="_Toc246996209"/>
      <w:bookmarkStart w:id="805" w:name="_Toc5260"/>
      <w:bookmarkStart w:id="806" w:name="_Toc246996952"/>
      <w:bookmarkStart w:id="807" w:name="_Toc124612945"/>
      <w:bookmarkStart w:id="808" w:name="_Toc21643"/>
      <w:bookmarkStart w:id="809" w:name="_Toc9087"/>
      <w:bookmarkStart w:id="810" w:name="_Toc144974533"/>
      <w:bookmarkStart w:id="811" w:name="_Toc152042341"/>
      <w:bookmarkStart w:id="812" w:name="_Toc20421"/>
      <w:bookmarkStart w:id="813" w:name="_Toc18493"/>
      <w:bookmarkStart w:id="814" w:name="_Toc22294"/>
      <w:bookmarkStart w:id="815" w:name="_Toc179632583"/>
      <w:bookmarkStart w:id="816" w:name="_Toc152045565"/>
      <w:r>
        <w:rPr>
          <w:rFonts w:hint="eastAsia"/>
          <w:color w:val="auto"/>
        </w:rPr>
        <w:t>6.3 评标</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4"/>
        <w:ind w:firstLine="482"/>
        <w:rPr>
          <w:color w:val="auto"/>
        </w:rPr>
      </w:pPr>
      <w:bookmarkStart w:id="817" w:name="_Toc7517"/>
      <w:bookmarkStart w:id="818" w:name="_Toc119872512"/>
      <w:bookmarkStart w:id="819" w:name="_Toc124612946"/>
      <w:bookmarkStart w:id="820" w:name="_Toc152045566"/>
      <w:bookmarkStart w:id="821" w:name="_Toc246996953"/>
      <w:bookmarkStart w:id="822" w:name="_Toc16341"/>
      <w:bookmarkStart w:id="823" w:name="_Toc661"/>
      <w:bookmarkStart w:id="824" w:name="_Toc152042342"/>
      <w:bookmarkStart w:id="825" w:name="_Toc247085724"/>
      <w:bookmarkStart w:id="826" w:name="_Toc179632584"/>
      <w:bookmarkStart w:id="827" w:name="_Toc4078343"/>
      <w:bookmarkStart w:id="828" w:name="_Toc246996210"/>
      <w:bookmarkStart w:id="829" w:name="_Toc17676"/>
      <w:bookmarkStart w:id="830" w:name="_Toc16334"/>
      <w:bookmarkStart w:id="831" w:name="_Toc144974534"/>
      <w:bookmarkStart w:id="832" w:name="_Toc3157"/>
      <w:bookmarkStart w:id="833" w:name="_Toc9752"/>
      <w:r>
        <w:rPr>
          <w:rFonts w:hint="eastAsia"/>
          <w:color w:val="auto"/>
        </w:rPr>
        <w:t xml:space="preserve">7. </w:t>
      </w:r>
      <w:bookmarkEnd w:id="817"/>
      <w:bookmarkEnd w:id="818"/>
      <w:r>
        <w:rPr>
          <w:rFonts w:hint="eastAsia"/>
          <w:color w:val="auto"/>
        </w:rPr>
        <w:t>定标</w:t>
      </w:r>
      <w:bookmarkEnd w:id="819"/>
    </w:p>
    <w:p>
      <w:pPr>
        <w:pStyle w:val="5"/>
        <w:ind w:firstLine="482"/>
        <w:rPr>
          <w:color w:val="auto"/>
        </w:rPr>
      </w:pPr>
      <w:bookmarkStart w:id="834" w:name="_Toc6018"/>
      <w:bookmarkStart w:id="835" w:name="_Toc4078344"/>
      <w:bookmarkStart w:id="836" w:name="_Toc247085725"/>
      <w:bookmarkStart w:id="837" w:name="_Toc2374"/>
      <w:bookmarkStart w:id="838" w:name="_Toc246996211"/>
      <w:bookmarkStart w:id="839" w:name="_Toc26165"/>
      <w:bookmarkStart w:id="840" w:name="_Toc152042343"/>
      <w:bookmarkStart w:id="841" w:name="_Toc152045567"/>
      <w:bookmarkStart w:id="842" w:name="_Toc28922"/>
      <w:bookmarkStart w:id="843" w:name="_Toc144974535"/>
      <w:bookmarkStart w:id="844" w:name="_Toc179632585"/>
      <w:bookmarkStart w:id="845" w:name="_Toc28430"/>
      <w:bookmarkStart w:id="846" w:name="_Toc119872513"/>
      <w:bookmarkStart w:id="847" w:name="_Toc246996954"/>
      <w:bookmarkStart w:id="848" w:name="_Toc11734"/>
      <w:bookmarkStart w:id="849" w:name="_Toc3270"/>
      <w:bookmarkStart w:id="850" w:name="_Toc124612947"/>
      <w:r>
        <w:rPr>
          <w:rFonts w:hint="eastAsia"/>
          <w:color w:val="auto"/>
        </w:rPr>
        <w:t>7.1定标</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Pr>
          <w:rFonts w:hint="eastAsia"/>
          <w:color w:val="auto"/>
        </w:rPr>
        <w:t>委员会组成</w:t>
      </w:r>
      <w:bookmarkEnd w:id="85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定标委员会由招标人组建，成员为5人以上单数（含5人）。定标委员会组长由招标人的法定代表人或其授权委托代表担任，其余成员原则上从招标人、项目业主或者使用单位及其上下级机构中产生，也可外聘专业技术人员担任，外聘专业技术人员不得超过定标委员会成员数量的三分之一。成员从2倍或以上的备选人员名单中随机抽取确定。定标由定标委员会负责，定标委员会组长承担定标过程中的管理责任。定标委员会人员数量见投标须知前附表。</w:t>
      </w:r>
    </w:p>
    <w:p>
      <w:pPr>
        <w:pStyle w:val="5"/>
        <w:ind w:firstLine="482"/>
        <w:rPr>
          <w:color w:val="auto"/>
        </w:rPr>
      </w:pPr>
      <w:bookmarkStart w:id="851" w:name="_Toc119872514"/>
      <w:bookmarkStart w:id="852" w:name="_Toc124612948"/>
      <w:r>
        <w:rPr>
          <w:rFonts w:hint="eastAsia"/>
          <w:color w:val="auto"/>
        </w:rPr>
        <w:t>7.</w:t>
      </w:r>
      <w:bookmarkEnd w:id="851"/>
      <w:r>
        <w:rPr>
          <w:color w:val="auto"/>
        </w:rPr>
        <w:t>2</w:t>
      </w:r>
      <w:r>
        <w:rPr>
          <w:rFonts w:hint="eastAsia"/>
          <w:color w:val="auto"/>
        </w:rPr>
        <w:t>定标因素</w:t>
      </w:r>
      <w:bookmarkEnd w:id="85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招标人可以根据项目情况和实际需要，选择企业实力、价格因素、企业信誉、拟派团队管理能力与水平、科技创新能力、技术方案、服务、履约评价等作为定标因素。</w:t>
      </w:r>
    </w:p>
    <w:p>
      <w:pPr>
        <w:pStyle w:val="5"/>
        <w:ind w:firstLine="482"/>
        <w:rPr>
          <w:color w:val="auto"/>
        </w:rPr>
      </w:pPr>
      <w:bookmarkStart w:id="853" w:name="_Toc124612949"/>
      <w:bookmarkStart w:id="854" w:name="_Toc119872515"/>
      <w:r>
        <w:rPr>
          <w:rFonts w:hint="eastAsia"/>
          <w:color w:val="auto"/>
        </w:rPr>
        <w:t>7.</w:t>
      </w:r>
      <w:r>
        <w:rPr>
          <w:color w:val="auto"/>
        </w:rPr>
        <w:t>3</w:t>
      </w:r>
      <w:r>
        <w:rPr>
          <w:rFonts w:hint="eastAsia"/>
          <w:color w:val="auto"/>
        </w:rPr>
        <w:t>定标方法</w:t>
      </w:r>
      <w:bookmarkEnd w:id="853"/>
      <w:bookmarkEnd w:id="85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定标委员会按照第四章“定标办法”规定的定标方法、定标因素和定标程序进行定标。</w:t>
      </w:r>
    </w:p>
    <w:p>
      <w:pPr>
        <w:pStyle w:val="5"/>
        <w:ind w:firstLine="482"/>
        <w:rPr>
          <w:color w:val="auto"/>
        </w:rPr>
      </w:pPr>
      <w:bookmarkStart w:id="855" w:name="_Toc124612950"/>
      <w:bookmarkStart w:id="856" w:name="_Toc119872516"/>
      <w:bookmarkStart w:id="857" w:name="_Toc15162"/>
      <w:r>
        <w:rPr>
          <w:rFonts w:hint="eastAsia"/>
          <w:color w:val="auto"/>
        </w:rPr>
        <w:t>7.</w:t>
      </w:r>
      <w:r>
        <w:rPr>
          <w:color w:val="auto"/>
        </w:rPr>
        <w:t>4</w:t>
      </w:r>
      <w:r>
        <w:rPr>
          <w:rFonts w:hint="eastAsia"/>
          <w:color w:val="auto"/>
        </w:rPr>
        <w:t>定标时间、地点</w:t>
      </w:r>
      <w:bookmarkEnd w:id="855"/>
      <w:bookmarkEnd w:id="85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人在投标须知前附表规定的定标时间和定标地点进行定标。招标人原则上在评标结束后立即进入本项目招标投标交易场所开展定标工作。特殊情况可推迟定标，但不得超过评标日期后3个工作日。超过3个工作日的，需向建设行政主管部门备案。</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Pr>
        <w:pStyle w:val="4"/>
        <w:ind w:firstLine="482"/>
        <w:rPr>
          <w:color w:val="auto"/>
        </w:rPr>
      </w:pPr>
      <w:bookmarkStart w:id="858" w:name="_Toc124612951"/>
      <w:bookmarkStart w:id="859" w:name="_Toc7907"/>
      <w:bookmarkStart w:id="860" w:name="_Toc7276"/>
      <w:bookmarkStart w:id="861" w:name="_Toc2041"/>
      <w:bookmarkStart w:id="862" w:name="_Toc4078345"/>
      <w:bookmarkStart w:id="863" w:name="_Toc29787"/>
      <w:bookmarkStart w:id="864" w:name="_Toc6809"/>
      <w:bookmarkStart w:id="865" w:name="_Toc27836"/>
      <w:bookmarkStart w:id="866" w:name="_Toc119872519"/>
      <w:r>
        <w:rPr>
          <w:rFonts w:hint="eastAsia"/>
          <w:color w:val="auto"/>
        </w:rPr>
        <w:t>8.合同授予</w:t>
      </w:r>
      <w:bookmarkEnd w:id="858"/>
    </w:p>
    <w:p>
      <w:pPr>
        <w:pStyle w:val="5"/>
        <w:ind w:firstLine="482"/>
        <w:rPr>
          <w:color w:val="auto"/>
        </w:rPr>
      </w:pPr>
      <w:bookmarkStart w:id="867" w:name="_Toc124612952"/>
      <w:r>
        <w:rPr>
          <w:rFonts w:hint="eastAsia"/>
          <w:color w:val="auto"/>
        </w:rPr>
        <w:t>8.1 中标候选人公示</w:t>
      </w:r>
      <w:bookmarkEnd w:id="857"/>
      <w:bookmarkEnd w:id="859"/>
      <w:bookmarkEnd w:id="860"/>
      <w:bookmarkEnd w:id="861"/>
      <w:bookmarkEnd w:id="862"/>
      <w:bookmarkEnd w:id="863"/>
      <w:bookmarkEnd w:id="864"/>
      <w:bookmarkEnd w:id="865"/>
      <w:bookmarkEnd w:id="866"/>
      <w:bookmarkEnd w:id="86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8.1.1招标人应当自收到定标报告之日起3日内公示中标候选人，公示期不得少于3日。具体按</w:t>
      </w:r>
      <w:r>
        <w:rPr>
          <w:color w:val="auto"/>
        </w:rPr>
        <w:fldChar w:fldCharType="begin"/>
      </w:r>
      <w:r>
        <w:rPr>
          <w:color w:val="auto"/>
        </w:rPr>
        <w:instrText xml:space="preserve"> HYPERLINK "http://www.gdcic.gov.cn/UploadMessageAttachFiles/20181129/20181129052518812.pdf" \t "_blank" </w:instrText>
      </w:r>
      <w:r>
        <w:rPr>
          <w:color w:val="auto"/>
        </w:rPr>
        <w:fldChar w:fldCharType="separate"/>
      </w:r>
      <w:r>
        <w:rPr>
          <w:rFonts w:hint="eastAsia" w:ascii="宋体" w:hAnsi="宋体" w:cs="宋体"/>
          <w:color w:val="auto"/>
          <w:sz w:val="24"/>
        </w:rPr>
        <w:t>《关于房屋建筑和市政基础设施工程建设项目招标投标全过程信息公开的管理规定》</w:t>
      </w:r>
      <w:r>
        <w:rPr>
          <w:rFonts w:hint="eastAsia" w:ascii="宋体" w:hAnsi="宋体" w:cs="宋体"/>
          <w:color w:val="auto"/>
          <w:sz w:val="24"/>
        </w:rPr>
        <w:fldChar w:fldCharType="end"/>
      </w:r>
      <w:r>
        <w:rPr>
          <w:rFonts w:hint="eastAsia" w:ascii="宋体" w:hAnsi="宋体" w:cs="宋体"/>
          <w:color w:val="auto"/>
          <w:sz w:val="24"/>
        </w:rPr>
        <w:t>、《广东省工程建设项目招标投标信息公开目录》规定执行。</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8.1.2 投标人或者其他利害关系人对依法必须进行招标的项目的评标定标结果有异议的，应当在中标候选人公示期间提出。招标人应当自收到异议之日起3日内作出答复；作出答复前，应当暂停招标投标活动。</w:t>
      </w:r>
    </w:p>
    <w:p>
      <w:pPr>
        <w:pStyle w:val="5"/>
        <w:ind w:firstLine="482"/>
        <w:rPr>
          <w:color w:val="auto"/>
        </w:rPr>
      </w:pPr>
      <w:bookmarkStart w:id="868" w:name="_Toc16873"/>
      <w:bookmarkStart w:id="869" w:name="_Toc7658"/>
      <w:bookmarkStart w:id="870" w:name="_Toc14527"/>
      <w:bookmarkStart w:id="871" w:name="_Toc124612953"/>
      <w:bookmarkStart w:id="872" w:name="_Toc246996212"/>
      <w:bookmarkStart w:id="873" w:name="_Toc7080"/>
      <w:bookmarkStart w:id="874" w:name="_Toc247085726"/>
      <w:bookmarkStart w:id="875" w:name="_Toc246996955"/>
      <w:bookmarkStart w:id="876" w:name="_Toc27125"/>
      <w:bookmarkStart w:id="877" w:name="_Toc4078346"/>
      <w:bookmarkStart w:id="878" w:name="_Toc20760"/>
      <w:bookmarkStart w:id="879" w:name="_Toc152042344"/>
      <w:bookmarkStart w:id="880" w:name="_Toc5794"/>
      <w:bookmarkStart w:id="881" w:name="_Toc144974536"/>
      <w:bookmarkStart w:id="882" w:name="_Toc119872520"/>
      <w:bookmarkStart w:id="883" w:name="_Toc179632586"/>
      <w:bookmarkStart w:id="884" w:name="_Toc152045568"/>
      <w:r>
        <w:rPr>
          <w:rFonts w:hint="eastAsia"/>
          <w:color w:val="auto"/>
        </w:rPr>
        <w:t>8.2 中标</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rFonts w:hint="eastAsia"/>
          <w:color w:val="auto"/>
        </w:rPr>
        <w:t>结果</w:t>
      </w:r>
    </w:p>
    <w:p>
      <w:pPr>
        <w:adjustRightInd w:val="0"/>
        <w:snapToGrid w:val="0"/>
        <w:spacing w:line="360" w:lineRule="auto"/>
        <w:ind w:firstLine="480" w:firstLineChars="200"/>
        <w:rPr>
          <w:rFonts w:ascii="宋体" w:hAnsi="宋体" w:cs="宋体"/>
          <w:color w:val="auto"/>
          <w:sz w:val="24"/>
        </w:rPr>
      </w:pPr>
      <w:bookmarkStart w:id="885" w:name="_Toc8053"/>
      <w:r>
        <w:rPr>
          <w:rFonts w:hint="eastAsia" w:ascii="宋体" w:hAnsi="宋体" w:cs="宋体"/>
          <w:color w:val="auto"/>
          <w:sz w:val="24"/>
        </w:rPr>
        <w:t>中标候选人公示期满，招标人应当确定排名第一的中标候选人为中标人</w:t>
      </w:r>
      <w:bookmarkStart w:id="886" w:name="_Hlk126654715"/>
      <w:r>
        <w:rPr>
          <w:rFonts w:hint="eastAsia" w:ascii="宋体" w:hAnsi="宋体" w:cs="宋体"/>
          <w:color w:val="auto"/>
          <w:sz w:val="24"/>
        </w:rPr>
        <w:t>，在中标人确定之日起七日内向中标人发出中标通知书，并将中标结果通知其他投标人。</w:t>
      </w:r>
      <w:bookmarkEnd w:id="886"/>
      <w:r>
        <w:rPr>
          <w:rFonts w:hint="eastAsia" w:ascii="宋体" w:hAnsi="宋体" w:cs="宋体"/>
          <w:color w:val="auto"/>
          <w:sz w:val="24"/>
        </w:rPr>
        <w:t>排名第一的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w:t>
      </w:r>
    </w:p>
    <w:p>
      <w:pPr>
        <w:pStyle w:val="5"/>
        <w:ind w:firstLine="482"/>
        <w:rPr>
          <w:color w:val="auto"/>
        </w:rPr>
      </w:pPr>
      <w:bookmarkStart w:id="887" w:name="_Toc152045569"/>
      <w:bookmarkStart w:id="888" w:name="_Toc14206"/>
      <w:bookmarkStart w:id="889" w:name="_Toc124612954"/>
      <w:bookmarkStart w:id="890" w:name="_Toc26331"/>
      <w:bookmarkStart w:id="891" w:name="_Toc144974537"/>
      <w:bookmarkStart w:id="892" w:name="_Toc21408"/>
      <w:bookmarkStart w:id="893" w:name="_Toc247085727"/>
      <w:bookmarkStart w:id="894" w:name="_Toc119872521"/>
      <w:bookmarkStart w:id="895" w:name="_Toc4078347"/>
      <w:bookmarkStart w:id="896" w:name="_Toc18851"/>
      <w:bookmarkStart w:id="897" w:name="_Toc246996956"/>
      <w:bookmarkStart w:id="898" w:name="_Toc179632587"/>
      <w:bookmarkStart w:id="899" w:name="_Toc4061"/>
      <w:bookmarkStart w:id="900" w:name="_Toc152042345"/>
      <w:bookmarkStart w:id="901" w:name="_Toc246996213"/>
      <w:bookmarkStart w:id="902" w:name="_Toc31905"/>
      <w:r>
        <w:rPr>
          <w:rFonts w:hint="eastAsia"/>
          <w:color w:val="auto"/>
        </w:rPr>
        <w:t>8.3 履约担保</w:t>
      </w:r>
      <w:bookmarkEnd w:id="885"/>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8.3.1中标人应按投标须知前附表规定的担保形式和招标文件第五章“合同格式及主要条款”规定的或者事先经过招标人书面认可的履约担保格式向招标人提交履约担保。除投标须知前附表另有规定外，履约担保金额为中标合同金额的10%。联合体中标的，其履约保证金以联合体各方或者联合体牵头人的名义提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8.3.2 中标人不能按本章第8.3.1项要求提交履约担保的，视为放弃中标，其投标保证金不予退还，给招标人造成的损失超过投标保证金数额的，中标人还应当对超过部分予以赔偿。</w:t>
      </w:r>
    </w:p>
    <w:p>
      <w:pPr>
        <w:pStyle w:val="5"/>
        <w:ind w:firstLine="482"/>
        <w:rPr>
          <w:color w:val="auto"/>
        </w:rPr>
      </w:pPr>
      <w:bookmarkStart w:id="903" w:name="_Toc22187"/>
      <w:bookmarkStart w:id="904" w:name="_Toc21025"/>
      <w:bookmarkStart w:id="905" w:name="_Toc22653"/>
      <w:bookmarkStart w:id="906" w:name="_Toc119872522"/>
      <w:bookmarkStart w:id="907" w:name="_Toc124612955"/>
      <w:bookmarkStart w:id="908" w:name="_Toc246996957"/>
      <w:bookmarkStart w:id="909" w:name="_Toc26891"/>
      <w:bookmarkStart w:id="910" w:name="_Toc152045570"/>
      <w:bookmarkStart w:id="911" w:name="_Toc4078348"/>
      <w:bookmarkStart w:id="912" w:name="_Toc2061"/>
      <w:bookmarkStart w:id="913" w:name="_Toc179632588"/>
      <w:bookmarkStart w:id="914" w:name="_Toc21303"/>
      <w:bookmarkStart w:id="915" w:name="_Toc152042346"/>
      <w:bookmarkStart w:id="916" w:name="_Toc246996214"/>
      <w:bookmarkStart w:id="917" w:name="_Toc144974538"/>
      <w:bookmarkStart w:id="918" w:name="_Toc24451"/>
      <w:bookmarkStart w:id="919" w:name="_Toc247085728"/>
      <w:r>
        <w:rPr>
          <w:rFonts w:hint="eastAsia"/>
          <w:color w:val="auto"/>
        </w:rPr>
        <w:t>8.4 签订合同</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8.4.2 发出中标通知书后，招标人无正当理由拒签合同的，招标人向中标人退还投标保证金；给中标人造成损失的，还应当赔偿损失。</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8.4</w:t>
      </w:r>
      <w:r>
        <w:rPr>
          <w:rFonts w:hint="eastAsia" w:ascii="宋体" w:hAnsi="宋体" w:cs="宋体"/>
          <w:bCs/>
          <w:color w:val="auto"/>
          <w:sz w:val="24"/>
        </w:rPr>
        <w:t>.3投标人无正当理由放弃中标或者在投标截止后撤销投标文件，造成招标人重新招标的，招标人将禁止该投标人再次投标该项目。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8.4.4本工程招标文件、补充说明、答疑和中标人的投标承诺是双方签订建设工程施工合同的依据，按</w:t>
      </w:r>
      <w:r>
        <w:rPr>
          <w:rFonts w:hint="eastAsia" w:ascii="宋体" w:hAnsi="宋体" w:cs="宋体"/>
          <w:bCs/>
          <w:color w:val="auto"/>
          <w:sz w:val="24"/>
        </w:rPr>
        <w:t>《建设工程施工合同（示范文本）》</w:t>
      </w:r>
      <w:r>
        <w:rPr>
          <w:rFonts w:hint="eastAsia" w:ascii="宋体" w:hAnsi="宋体" w:cs="宋体"/>
          <w:color w:val="auto"/>
          <w:sz w:val="24"/>
        </w:rPr>
        <w:t>签订施工合同文本，对此合同文本的使用说明应符合国家市场监督管理总局、住房和城乡建设部的要求，招标人承诺不对中标人增加超出招标文件的额外要求。中标人在签订合同时对上述文件有异议，不愿意遵照执行，招标人按规定取消其中标资格，可</w:t>
      </w:r>
      <w:r>
        <w:rPr>
          <w:rFonts w:hint="eastAsia" w:asciiTheme="majorEastAsia" w:hAnsiTheme="majorEastAsia" w:eastAsiaTheme="majorEastAsia" w:cstheme="majorEastAsia"/>
          <w:color w:val="auto"/>
          <w:sz w:val="24"/>
        </w:rPr>
        <w:t>按照中标候选人名单排序依次确定其他中标候选人为中标人，也可以重新招标。</w:t>
      </w:r>
      <w:r>
        <w:rPr>
          <w:rFonts w:hint="eastAsia" w:ascii="宋体" w:hAnsi="宋体" w:cs="宋体"/>
          <w:color w:val="auto"/>
          <w:sz w:val="24"/>
        </w:rPr>
        <w:t>招标人将上报招标管理机构对其作进一步处理。</w:t>
      </w:r>
    </w:p>
    <w:p>
      <w:pPr>
        <w:pStyle w:val="4"/>
        <w:ind w:firstLine="482"/>
        <w:rPr>
          <w:color w:val="auto"/>
        </w:rPr>
      </w:pPr>
      <w:bookmarkStart w:id="920" w:name="_Toc11097"/>
      <w:bookmarkStart w:id="921" w:name="_Toc13402"/>
      <w:bookmarkStart w:id="922" w:name="_Toc119872523"/>
      <w:bookmarkStart w:id="923" w:name="_Toc9198"/>
      <w:bookmarkStart w:id="924" w:name="_Toc17520"/>
      <w:bookmarkStart w:id="925" w:name="_Toc4078349"/>
      <w:bookmarkStart w:id="926" w:name="_Toc13347"/>
      <w:bookmarkStart w:id="927" w:name="_Toc1298"/>
      <w:bookmarkStart w:id="928" w:name="_Toc124612956"/>
      <w:bookmarkStart w:id="929" w:name="_Toc12612"/>
      <w:r>
        <w:rPr>
          <w:rFonts w:hint="eastAsia"/>
          <w:color w:val="auto"/>
        </w:rPr>
        <w:t>9. 纪律和监督</w:t>
      </w:r>
      <w:bookmarkEnd w:id="920"/>
      <w:bookmarkEnd w:id="921"/>
      <w:bookmarkEnd w:id="922"/>
      <w:bookmarkEnd w:id="923"/>
      <w:bookmarkEnd w:id="924"/>
      <w:bookmarkEnd w:id="925"/>
      <w:bookmarkEnd w:id="926"/>
      <w:bookmarkEnd w:id="927"/>
      <w:bookmarkEnd w:id="928"/>
      <w:bookmarkEnd w:id="929"/>
    </w:p>
    <w:p>
      <w:pPr>
        <w:pStyle w:val="5"/>
        <w:ind w:firstLine="482"/>
        <w:rPr>
          <w:color w:val="auto"/>
        </w:rPr>
      </w:pPr>
      <w:bookmarkStart w:id="930" w:name="_Toc7265"/>
      <w:bookmarkStart w:id="931" w:name="_Toc21049"/>
      <w:bookmarkStart w:id="932" w:name="_Toc247085733"/>
      <w:bookmarkStart w:id="933" w:name="_Toc119872524"/>
      <w:bookmarkStart w:id="934" w:name="_Toc9663"/>
      <w:bookmarkStart w:id="935" w:name="_Toc124612957"/>
      <w:bookmarkStart w:id="936" w:name="_Toc152042351"/>
      <w:bookmarkStart w:id="937" w:name="_Toc144974543"/>
      <w:bookmarkStart w:id="938" w:name="_Toc296590983"/>
      <w:bookmarkStart w:id="939" w:name="_Toc179632593"/>
      <w:bookmarkStart w:id="940" w:name="_Toc25554"/>
      <w:bookmarkStart w:id="941" w:name="_Toc246996219"/>
      <w:bookmarkStart w:id="942" w:name="_Toc246996962"/>
      <w:bookmarkStart w:id="943" w:name="_Toc25102"/>
      <w:bookmarkStart w:id="944" w:name="_Toc4078350"/>
      <w:bookmarkStart w:id="945" w:name="_Toc14316"/>
      <w:bookmarkStart w:id="946" w:name="_Toc7465"/>
      <w:bookmarkStart w:id="947" w:name="_Toc152045575"/>
      <w:r>
        <w:rPr>
          <w:rFonts w:hint="eastAsia"/>
          <w:color w:val="auto"/>
        </w:rPr>
        <w:t>9.1 对招标人的纪律要求</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招标人不得泄露招标投标活动中应当保密的情况和资料，不得与投标人串通损害国家利益、社会公共利益或者他人合法权益。</w:t>
      </w:r>
    </w:p>
    <w:p>
      <w:pPr>
        <w:pStyle w:val="5"/>
        <w:ind w:firstLine="482"/>
        <w:rPr>
          <w:color w:val="auto"/>
        </w:rPr>
      </w:pPr>
      <w:bookmarkStart w:id="948" w:name="_Toc119872525"/>
      <w:bookmarkStart w:id="949" w:name="_Toc246996220"/>
      <w:bookmarkStart w:id="950" w:name="_Toc152045576"/>
      <w:bookmarkStart w:id="951" w:name="_Toc9278"/>
      <w:bookmarkStart w:id="952" w:name="_Toc5137"/>
      <w:bookmarkStart w:id="953" w:name="_Toc2854"/>
      <w:bookmarkStart w:id="954" w:name="_Toc23418"/>
      <w:bookmarkStart w:id="955" w:name="_Toc247085734"/>
      <w:bookmarkStart w:id="956" w:name="_Toc179632594"/>
      <w:bookmarkStart w:id="957" w:name="_Toc124612958"/>
      <w:bookmarkStart w:id="958" w:name="_Toc31824"/>
      <w:bookmarkStart w:id="959" w:name="_Toc14479"/>
      <w:bookmarkStart w:id="960" w:name="_Toc20497"/>
      <w:bookmarkStart w:id="961" w:name="_Toc246996963"/>
      <w:bookmarkStart w:id="962" w:name="_Toc144974544"/>
      <w:bookmarkStart w:id="963" w:name="_Toc152042352"/>
      <w:bookmarkStart w:id="964" w:name="_Toc4078351"/>
      <w:r>
        <w:rPr>
          <w:rFonts w:hint="eastAsia"/>
          <w:color w:val="auto"/>
        </w:rPr>
        <w:t>9.2 对投标人的纪律要求</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ind w:firstLine="482"/>
        <w:rPr>
          <w:color w:val="auto"/>
        </w:rPr>
      </w:pPr>
      <w:bookmarkStart w:id="965" w:name="_Toc246996964"/>
      <w:bookmarkStart w:id="966" w:name="_Toc152045577"/>
      <w:bookmarkStart w:id="967" w:name="_Toc247085735"/>
      <w:bookmarkStart w:id="968" w:name="_Toc10757"/>
      <w:bookmarkStart w:id="969" w:name="_Toc124612959"/>
      <w:bookmarkStart w:id="970" w:name="_Toc119872526"/>
      <w:bookmarkStart w:id="971" w:name="_Toc4468"/>
      <w:bookmarkStart w:id="972" w:name="_Toc4622"/>
      <w:bookmarkStart w:id="973" w:name="_Toc246996221"/>
      <w:bookmarkStart w:id="974" w:name="_Toc16074"/>
      <w:bookmarkStart w:id="975" w:name="_Toc4078352"/>
      <w:bookmarkStart w:id="976" w:name="_Toc20185"/>
      <w:bookmarkStart w:id="977" w:name="_Toc144974545"/>
      <w:bookmarkStart w:id="978" w:name="_Toc179632595"/>
      <w:bookmarkStart w:id="979" w:name="_Toc11053"/>
      <w:bookmarkStart w:id="980" w:name="_Toc12545"/>
      <w:bookmarkStart w:id="981" w:name="_Toc152042353"/>
      <w:r>
        <w:rPr>
          <w:color w:val="auto"/>
        </w:rPr>
        <w:t xml:space="preserve">9.3 </w:t>
      </w:r>
      <w:r>
        <w:rPr>
          <w:rFonts w:hint="eastAsia"/>
          <w:color w:val="auto"/>
        </w:rPr>
        <w:t>对评标和定标委员会成员的纪律要求</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adjustRightInd w:val="0"/>
        <w:snapToGrid w:val="0"/>
        <w:spacing w:line="360" w:lineRule="auto"/>
        <w:ind w:firstLine="480" w:firstLineChars="200"/>
        <w:rPr>
          <w:rFonts w:ascii="宋体" w:hAnsi="宋体" w:cs="宋体"/>
          <w:color w:val="auto"/>
          <w:sz w:val="24"/>
        </w:rPr>
      </w:pPr>
      <w:bookmarkStart w:id="982" w:name="_Hlk126654791"/>
      <w:r>
        <w:rPr>
          <w:rFonts w:hint="eastAsia" w:ascii="宋体" w:hAnsi="宋体" w:cs="宋体"/>
          <w:color w:val="auto"/>
          <w:sz w:val="24"/>
        </w:rPr>
        <w:t>9.3.1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没有规定的评审因素标准进行评标。</w:t>
      </w:r>
    </w:p>
    <w:p>
      <w:pPr>
        <w:pStyle w:val="2"/>
        <w:spacing w:line="360" w:lineRule="auto"/>
        <w:ind w:firstLine="480"/>
        <w:rPr>
          <w:rFonts w:ascii="宋体" w:hAnsi="宋体" w:cs="宋体"/>
          <w:color w:val="auto"/>
          <w:sz w:val="24"/>
        </w:rPr>
      </w:pPr>
      <w:r>
        <w:rPr>
          <w:rFonts w:hint="eastAsia" w:ascii="宋体" w:hAnsi="宋体" w:cs="宋体"/>
          <w:color w:val="auto"/>
          <w:sz w:val="24"/>
        </w:rPr>
        <w:t>9.3.2定标委员会成员不得收受他人的财物或者其他好处，不得向他人透露中标候选人的推荐情况以及定标有关的其他情况。在定标活动中，定标委员会成员应当客观、公正地履行职责，遵守职业道德，不得擅离职守，影响定标程序正常进行。</w:t>
      </w:r>
    </w:p>
    <w:bookmarkEnd w:id="982"/>
    <w:p>
      <w:pPr>
        <w:pStyle w:val="5"/>
        <w:ind w:firstLine="482"/>
        <w:rPr>
          <w:color w:val="auto"/>
        </w:rPr>
      </w:pPr>
      <w:bookmarkStart w:id="983" w:name="_Toc246996222"/>
      <w:bookmarkStart w:id="984" w:name="_Toc6210"/>
      <w:bookmarkStart w:id="985" w:name="_Toc31833"/>
      <w:bookmarkStart w:id="986" w:name="_Toc179632596"/>
      <w:bookmarkStart w:id="987" w:name="_Toc152042354"/>
      <w:bookmarkStart w:id="988" w:name="_Toc10150"/>
      <w:bookmarkStart w:id="989" w:name="_Toc247085736"/>
      <w:bookmarkStart w:id="990" w:name="_Toc20555"/>
      <w:bookmarkStart w:id="991" w:name="_Toc18041"/>
      <w:bookmarkStart w:id="992" w:name="_Toc119872527"/>
      <w:bookmarkStart w:id="993" w:name="_Toc246996965"/>
      <w:bookmarkStart w:id="994" w:name="_Toc4078353"/>
      <w:bookmarkStart w:id="995" w:name="_Toc7656"/>
      <w:bookmarkStart w:id="996" w:name="_Toc124612960"/>
      <w:bookmarkStart w:id="997" w:name="_Toc25370"/>
      <w:bookmarkStart w:id="998" w:name="_Toc152045578"/>
      <w:bookmarkStart w:id="999" w:name="_Toc144974546"/>
      <w:r>
        <w:rPr>
          <w:color w:val="auto"/>
        </w:rPr>
        <w:t xml:space="preserve">9.4 </w:t>
      </w:r>
      <w:r>
        <w:rPr>
          <w:rFonts w:hint="eastAsia"/>
          <w:color w:val="auto"/>
        </w:rPr>
        <w:t>对与评标和定标活动有关的工作人员的纪律要求</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adjustRightInd w:val="0"/>
        <w:snapToGrid w:val="0"/>
        <w:spacing w:line="360" w:lineRule="auto"/>
        <w:ind w:firstLine="480" w:firstLineChars="200"/>
        <w:rPr>
          <w:rFonts w:ascii="宋体" w:hAnsi="宋体" w:cs="宋体"/>
          <w:color w:val="auto"/>
          <w:sz w:val="24"/>
        </w:rPr>
      </w:pPr>
      <w:bookmarkStart w:id="1000" w:name="_Toc152042355"/>
      <w:r>
        <w:rPr>
          <w:rFonts w:hint="eastAsia" w:ascii="宋体" w:hAnsi="宋体" w:cs="宋体"/>
          <w:color w:val="auto"/>
          <w:sz w:val="24"/>
        </w:rPr>
        <w:t>与评标和定标活动有关的工作人员不得收受他人的财物或者其他好处，不得向他人透露对投标文件的评审和比较、中标候选人的推荐情况以及评标和定标有关的其他情况。在评标和定标活动中，与评标和定标活动有关的工作人员不得擅离职守，影响评标和定标程序正常进行。</w:t>
      </w:r>
      <w:bookmarkEnd w:id="1000"/>
    </w:p>
    <w:p>
      <w:pPr>
        <w:pStyle w:val="5"/>
        <w:ind w:firstLine="482"/>
        <w:rPr>
          <w:color w:val="auto"/>
        </w:rPr>
      </w:pPr>
      <w:bookmarkStart w:id="1001" w:name="_Toc12664"/>
      <w:bookmarkStart w:id="1002" w:name="_Toc246996966"/>
      <w:bookmarkStart w:id="1003" w:name="_Toc247085737"/>
      <w:bookmarkStart w:id="1004" w:name="_Toc5351"/>
      <w:bookmarkStart w:id="1005" w:name="_Toc124612961"/>
      <w:bookmarkStart w:id="1006" w:name="_Toc119872528"/>
      <w:bookmarkStart w:id="1007" w:name="_Toc152042356"/>
      <w:bookmarkStart w:id="1008" w:name="_Toc246996223"/>
      <w:bookmarkStart w:id="1009" w:name="_Toc31803"/>
      <w:bookmarkStart w:id="1010" w:name="_Toc18969"/>
      <w:bookmarkStart w:id="1011" w:name="_Toc179632597"/>
      <w:bookmarkStart w:id="1012" w:name="_Toc32453"/>
      <w:bookmarkStart w:id="1013" w:name="_Toc3809"/>
      <w:bookmarkStart w:id="1014" w:name="_Toc152045579"/>
      <w:bookmarkStart w:id="1015" w:name="_Toc7860"/>
      <w:bookmarkStart w:id="1016" w:name="_Toc4078354"/>
      <w:r>
        <w:rPr>
          <w:rFonts w:hint="eastAsia"/>
          <w:color w:val="auto"/>
        </w:rPr>
        <w:t>9.5 投诉</w:t>
      </w:r>
      <w:bookmarkEnd w:id="999"/>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9.5.1 投标人或者其他利害关系人认为招标投标活动不符合法律、行政法规规定的，可以自知道或者应当知道之日起 10 日内向有关行政监督部门投诉。投诉应当有明确的请求和必要的证明材料。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9.5.2 投标人或者其他利害关系人对招标文件、开标和评标结果提出投诉的，应当按照投标须知第 2.2 款、第 5.3 款和第 8.1.2款的规定先向招标人提出异议。异议答复期间不计算在第 9.5.1项规定的期限内。</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9.5.3 未按《工程建设项目招标投标活动投诉处理办法》规定进行投诉或逾期投诉的均无效，相关监督部门依法不予受理。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9.5.4 在监督部门作出结论前，将暂停招标投标活动。</w:t>
      </w:r>
    </w:p>
    <w:p>
      <w:pPr>
        <w:pStyle w:val="2"/>
        <w:adjustRightInd w:val="0"/>
        <w:snapToGrid w:val="0"/>
        <w:spacing w:line="360" w:lineRule="auto"/>
        <w:rPr>
          <w:rFonts w:ascii="宋体" w:hAnsi="宋体"/>
          <w:color w:val="auto"/>
        </w:rPr>
      </w:pPr>
    </w:p>
    <w:p>
      <w:pPr>
        <w:pStyle w:val="4"/>
        <w:ind w:firstLine="482"/>
        <w:rPr>
          <w:color w:val="auto"/>
        </w:rPr>
      </w:pPr>
      <w:bookmarkStart w:id="1017" w:name="_Toc1536"/>
      <w:bookmarkStart w:id="1018" w:name="_Toc31678"/>
      <w:bookmarkStart w:id="1019" w:name="_Toc124612962"/>
      <w:bookmarkStart w:id="1020" w:name="_Toc11142"/>
      <w:bookmarkStart w:id="1021" w:name="_Toc119872529"/>
      <w:bookmarkStart w:id="1022" w:name="_Toc29190"/>
      <w:bookmarkStart w:id="1023" w:name="_Toc12832"/>
      <w:bookmarkStart w:id="1024" w:name="_Toc18935"/>
      <w:bookmarkStart w:id="1025" w:name="_Toc15465"/>
      <w:bookmarkStart w:id="1026" w:name="_Toc152042357"/>
      <w:bookmarkStart w:id="1027" w:name="_Toc144974547"/>
      <w:bookmarkStart w:id="1028" w:name="_Toc4078355"/>
      <w:bookmarkStart w:id="1029" w:name="_Toc152045580"/>
      <w:bookmarkStart w:id="1030" w:name="_Toc246996224"/>
      <w:bookmarkStart w:id="1031" w:name="_Toc179632598"/>
      <w:bookmarkStart w:id="1032" w:name="_Toc246996967"/>
      <w:bookmarkStart w:id="1033" w:name="_Toc247085738"/>
      <w:r>
        <w:rPr>
          <w:rFonts w:hint="eastAsia"/>
          <w:color w:val="auto"/>
        </w:rPr>
        <w:t>10. 电子招标投标</w:t>
      </w:r>
      <w:bookmarkEnd w:id="1017"/>
      <w:bookmarkEnd w:id="1018"/>
      <w:bookmarkEnd w:id="1019"/>
      <w:bookmarkEnd w:id="1020"/>
      <w:bookmarkEnd w:id="1021"/>
      <w:bookmarkEnd w:id="1022"/>
      <w:bookmarkEnd w:id="1023"/>
      <w:bookmarkEnd w:id="1024"/>
      <w:bookmarkEnd w:id="102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采用电子招标投标，对投标文件的编制、标记、递交、开标、评标等的具体要求，见投标须知前附表。</w:t>
      </w:r>
    </w:p>
    <w:p>
      <w:pPr>
        <w:pStyle w:val="2"/>
        <w:adjustRightInd w:val="0"/>
        <w:snapToGrid w:val="0"/>
        <w:spacing w:line="360" w:lineRule="auto"/>
        <w:rPr>
          <w:rFonts w:ascii="宋体" w:hAnsi="宋体"/>
          <w:color w:val="auto"/>
        </w:rPr>
      </w:pPr>
    </w:p>
    <w:bookmarkEnd w:id="1026"/>
    <w:bookmarkEnd w:id="1027"/>
    <w:bookmarkEnd w:id="1028"/>
    <w:bookmarkEnd w:id="1029"/>
    <w:bookmarkEnd w:id="1030"/>
    <w:bookmarkEnd w:id="1031"/>
    <w:bookmarkEnd w:id="1032"/>
    <w:bookmarkEnd w:id="1033"/>
    <w:p>
      <w:pPr>
        <w:pStyle w:val="4"/>
        <w:ind w:firstLine="482"/>
        <w:rPr>
          <w:color w:val="auto"/>
        </w:rPr>
      </w:pPr>
      <w:bookmarkStart w:id="1034" w:name="_Toc4078356"/>
      <w:bookmarkStart w:id="1035" w:name="_Toc17021"/>
      <w:bookmarkStart w:id="1036" w:name="_Toc8411"/>
      <w:bookmarkStart w:id="1037" w:name="_Toc5846"/>
      <w:bookmarkStart w:id="1038" w:name="_Toc18488"/>
      <w:bookmarkStart w:id="1039" w:name="_Toc16561"/>
      <w:bookmarkStart w:id="1040" w:name="_Toc119872530"/>
      <w:bookmarkStart w:id="1041" w:name="_Toc124612963"/>
      <w:bookmarkStart w:id="1042" w:name="_Toc17095"/>
      <w:bookmarkStart w:id="1043" w:name="_Toc3856"/>
      <w:r>
        <w:rPr>
          <w:rFonts w:hint="eastAsia"/>
          <w:color w:val="auto"/>
        </w:rPr>
        <w:t>11．</w:t>
      </w:r>
      <w:bookmarkEnd w:id="1034"/>
      <w:r>
        <w:rPr>
          <w:rFonts w:hint="eastAsia"/>
          <w:color w:val="auto"/>
        </w:rPr>
        <w:t>需要补充的其他内容</w:t>
      </w:r>
      <w:bookmarkEnd w:id="1035"/>
      <w:bookmarkEnd w:id="1036"/>
      <w:bookmarkEnd w:id="1037"/>
      <w:bookmarkEnd w:id="1038"/>
      <w:bookmarkEnd w:id="1039"/>
      <w:bookmarkEnd w:id="1040"/>
      <w:bookmarkEnd w:id="1041"/>
      <w:bookmarkEnd w:id="1042"/>
      <w:bookmarkEnd w:id="1043"/>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需要补充的其他内容：见投标须知前附表。</w:t>
      </w:r>
    </w:p>
    <w:p>
      <w:pPr>
        <w:pStyle w:val="3"/>
        <w:rPr>
          <w:color w:val="auto"/>
        </w:rPr>
      </w:pPr>
      <w:bookmarkStart w:id="1044" w:name="_Toc246996973"/>
      <w:bookmarkStart w:id="1045" w:name="_Toc152045587"/>
      <w:bookmarkStart w:id="1046" w:name="_Toc144974554"/>
      <w:bookmarkStart w:id="1047" w:name="_Toc152042364"/>
      <w:bookmarkStart w:id="1048" w:name="_Toc179632605"/>
      <w:bookmarkStart w:id="1049" w:name="_Toc247085745"/>
      <w:bookmarkStart w:id="1050" w:name="_Toc246996230"/>
      <w:r>
        <w:rPr>
          <w:color w:val="auto"/>
          <w:sz w:val="24"/>
        </w:rPr>
        <w:br w:type="page"/>
      </w:r>
      <w:bookmarkEnd w:id="1044"/>
      <w:bookmarkEnd w:id="1045"/>
      <w:bookmarkEnd w:id="1046"/>
      <w:bookmarkEnd w:id="1047"/>
      <w:bookmarkEnd w:id="1048"/>
      <w:bookmarkEnd w:id="1049"/>
      <w:bookmarkEnd w:id="1050"/>
      <w:bookmarkStart w:id="1051" w:name="_Toc16021"/>
      <w:bookmarkStart w:id="1052" w:name="_Toc16854"/>
      <w:bookmarkStart w:id="1053" w:name="_Toc124612964"/>
      <w:bookmarkStart w:id="1054" w:name="_Toc119872531"/>
      <w:bookmarkStart w:id="1055" w:name="_Toc179632616"/>
      <w:bookmarkStart w:id="1056" w:name="_Toc152045598"/>
      <w:bookmarkStart w:id="1057" w:name="_Toc246996241"/>
      <w:bookmarkStart w:id="1058" w:name="_Toc10168"/>
      <w:bookmarkStart w:id="1059" w:name="_Toc20962"/>
      <w:bookmarkStart w:id="1060" w:name="_Toc247085756"/>
      <w:bookmarkStart w:id="1061" w:name="_Toc152042375"/>
      <w:bookmarkStart w:id="1062" w:name="_Toc246996984"/>
      <w:bookmarkStart w:id="1063" w:name="_Toc144974565"/>
      <w:bookmarkStart w:id="1064" w:name="_Toc7366"/>
      <w:bookmarkStart w:id="1065" w:name="_Toc22490"/>
      <w:bookmarkStart w:id="1066" w:name="_Toc4078370"/>
      <w:bookmarkStart w:id="1067" w:name="_Toc1425"/>
      <w:r>
        <w:rPr>
          <w:rFonts w:hint="eastAsia"/>
          <w:color w:val="auto"/>
        </w:rPr>
        <w:t>第三章</w:t>
      </w:r>
      <w:r>
        <w:rPr>
          <w:color w:val="auto"/>
        </w:rPr>
        <w:t xml:space="preserve"> </w:t>
      </w:r>
      <w:r>
        <w:rPr>
          <w:rFonts w:hint="eastAsia"/>
          <w:color w:val="auto"/>
        </w:rPr>
        <w:t>评标办法（定性评审）</w:t>
      </w:r>
      <w:bookmarkEnd w:id="1051"/>
      <w:bookmarkEnd w:id="1052"/>
      <w:bookmarkEnd w:id="1053"/>
      <w:bookmarkEnd w:id="1054"/>
    </w:p>
    <w:p>
      <w:pPr>
        <w:pStyle w:val="4"/>
        <w:ind w:firstLine="482"/>
        <w:jc w:val="center"/>
        <w:rPr>
          <w:color w:val="auto"/>
        </w:rPr>
      </w:pPr>
      <w:bookmarkStart w:id="1068" w:name="_Toc13222"/>
      <w:bookmarkStart w:id="1069" w:name="_Toc119872532"/>
      <w:bookmarkStart w:id="1070" w:name="_Toc2065"/>
      <w:bookmarkStart w:id="1071" w:name="_Toc124612965"/>
      <w:r>
        <w:rPr>
          <w:rFonts w:hint="eastAsia"/>
          <w:color w:val="auto"/>
        </w:rPr>
        <w:t>评标办法前附表</w:t>
      </w:r>
      <w:bookmarkEnd w:id="1068"/>
      <w:bookmarkEnd w:id="1069"/>
      <w:bookmarkEnd w:id="1070"/>
      <w:bookmarkEnd w:id="1071"/>
    </w:p>
    <w:tbl>
      <w:tblPr>
        <w:tblStyle w:val="46"/>
        <w:tblW w:w="90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114"/>
        <w:gridCol w:w="2226"/>
        <w:gridCol w:w="4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2041" w:type="dxa"/>
            <w:gridSpan w:val="2"/>
            <w:tcBorders>
              <w:top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条款号</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评审因素</w:t>
            </w:r>
          </w:p>
        </w:tc>
        <w:tc>
          <w:tcPr>
            <w:tcW w:w="4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restart"/>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2.1.1</w:t>
            </w:r>
          </w:p>
        </w:tc>
        <w:tc>
          <w:tcPr>
            <w:tcW w:w="1114" w:type="dxa"/>
            <w:vMerge w:val="restart"/>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形式评审标准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签章或盖章要求</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w:t>
            </w:r>
            <w:r>
              <w:rPr>
                <w:rFonts w:ascii="宋体" w:hAnsi="宋体" w:cs="宋体"/>
                <w:color w:val="auto"/>
                <w:szCs w:val="21"/>
              </w:rPr>
              <w:t>3.6.3</w:t>
            </w:r>
            <w:r>
              <w:rPr>
                <w:rFonts w:hint="eastAsia"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联合体投标人（如有）</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其他要求</w:t>
            </w:r>
          </w:p>
        </w:tc>
        <w:tc>
          <w:tcPr>
            <w:tcW w:w="4792"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rPr>
              <w:t>没有出现本评标办法初步评审3.1.2款规定的情形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2.1.2</w:t>
            </w:r>
          </w:p>
        </w:tc>
        <w:tc>
          <w:tcPr>
            <w:tcW w:w="1114" w:type="dxa"/>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资格评审标准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营业执照</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安全生产许可证</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具备有效的</w:t>
            </w:r>
            <w:r>
              <w:rPr>
                <w:rFonts w:hint="eastAsia" w:ascii="宋体" w:hAnsi="宋体" w:cs="宋体"/>
                <w:color w:val="auto"/>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资质等级</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管理班子人员</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rPr>
              <w:t>通过惠州市建筑业信用信息平台信用信息录入</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业绩要求（如有）</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联合体投标人（如有）</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其他要求</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2.1.3</w:t>
            </w:r>
          </w:p>
        </w:tc>
        <w:tc>
          <w:tcPr>
            <w:tcW w:w="1114" w:type="dxa"/>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响应性</w:t>
            </w:r>
          </w:p>
          <w:p>
            <w:pPr>
              <w:jc w:val="center"/>
              <w:rPr>
                <w:rFonts w:ascii="宋体" w:hAnsi="宋体" w:cs="宋体"/>
                <w:color w:val="auto"/>
                <w:szCs w:val="21"/>
              </w:rPr>
            </w:pPr>
            <w:r>
              <w:rPr>
                <w:rFonts w:hint="eastAsia" w:ascii="宋体" w:hAnsi="宋体" w:cs="宋体"/>
                <w:color w:val="auto"/>
                <w:szCs w:val="21"/>
              </w:rPr>
              <w:t>评审</w:t>
            </w:r>
          </w:p>
          <w:p>
            <w:pPr>
              <w:jc w:val="center"/>
              <w:rPr>
                <w:rFonts w:ascii="宋体" w:hAnsi="宋体" w:cs="宋体"/>
                <w:color w:val="auto"/>
                <w:szCs w:val="21"/>
              </w:rPr>
            </w:pPr>
            <w:r>
              <w:rPr>
                <w:rFonts w:hint="eastAsia" w:ascii="宋体" w:hAnsi="宋体" w:cs="宋体"/>
                <w:color w:val="auto"/>
                <w:szCs w:val="21"/>
              </w:rPr>
              <w:t>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投标报价</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投标内容</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符合第二章“投标须知”第1.3.1项规定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工期</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符合第二章“投标须知”第1.3.2项规定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工程质量</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olor w:val="auto"/>
              </w:rPr>
              <w:t>符合第二章“投标须知”第1.3.3项规定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投标有效期</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olor w:val="auto"/>
              </w:rPr>
              <w:t>符合第二章“投标须知”第3.3.1项规定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投标保证金</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已标价工程量清单</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符合第六章工程量清单要求及本章初步评审3.1.2款规定的情形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权利义务</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符合第五章“合同格式及主要条款”规定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技术标准和要求</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符合第八章“技术标准和要求”规定</w:t>
            </w:r>
          </w:p>
        </w:tc>
      </w:tr>
    </w:tbl>
    <w:p>
      <w:pPr>
        <w:pStyle w:val="4"/>
        <w:ind w:firstLine="482"/>
        <w:rPr>
          <w:color w:val="auto"/>
        </w:rPr>
      </w:pPr>
      <w:bookmarkStart w:id="1072" w:name="_Toc246996975"/>
      <w:bookmarkStart w:id="1073" w:name="_Toc247085747"/>
      <w:bookmarkStart w:id="1074" w:name="_Toc144974556"/>
      <w:bookmarkStart w:id="1075" w:name="_Toc152042366"/>
      <w:bookmarkStart w:id="1076" w:name="_Toc152045589"/>
      <w:bookmarkStart w:id="1077" w:name="_Toc246996232"/>
      <w:bookmarkStart w:id="1078" w:name="_Toc179632607"/>
      <w:r>
        <w:rPr>
          <w:color w:val="auto"/>
        </w:rPr>
        <w:br w:type="page"/>
      </w:r>
      <w:bookmarkStart w:id="1079" w:name="_Toc124612966"/>
      <w:bookmarkStart w:id="1080" w:name="_Toc26132"/>
      <w:bookmarkStart w:id="1081" w:name="_Toc119872533"/>
      <w:bookmarkStart w:id="1082" w:name="_Toc6380"/>
      <w:r>
        <w:rPr>
          <w:rFonts w:hint="eastAsia"/>
          <w:color w:val="auto"/>
        </w:rPr>
        <w:t>1. 评标方法</w:t>
      </w:r>
      <w:bookmarkEnd w:id="1072"/>
      <w:bookmarkEnd w:id="1073"/>
      <w:bookmarkEnd w:id="1074"/>
      <w:bookmarkEnd w:id="1075"/>
      <w:bookmarkEnd w:id="1076"/>
      <w:bookmarkEnd w:id="1077"/>
      <w:bookmarkEnd w:id="1078"/>
      <w:bookmarkEnd w:id="1079"/>
      <w:bookmarkEnd w:id="1080"/>
      <w:bookmarkEnd w:id="1081"/>
      <w:bookmarkEnd w:id="108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次评标采用定性评审法。评标委员会按招标文件确定的评标方法对投标文件进行初步评审，包括形式评审、资格性评审、响应性评审、电子清标（如特征码检测、符合性检查、一致性检查等）等，将通过初步评审的投标人全部推荐为中标候选人。</w:t>
      </w:r>
    </w:p>
    <w:p>
      <w:pPr>
        <w:pStyle w:val="4"/>
        <w:ind w:firstLine="482"/>
        <w:rPr>
          <w:color w:val="auto"/>
        </w:rPr>
      </w:pPr>
      <w:bookmarkStart w:id="1083" w:name="_Toc25066"/>
      <w:bookmarkStart w:id="1084" w:name="_Toc119872534"/>
      <w:bookmarkStart w:id="1085" w:name="_Toc7184"/>
      <w:bookmarkStart w:id="1086" w:name="_Toc124612967"/>
      <w:r>
        <w:rPr>
          <w:rFonts w:hint="eastAsia"/>
          <w:color w:val="auto"/>
        </w:rPr>
        <w:t>2. 评审标准</w:t>
      </w:r>
      <w:bookmarkEnd w:id="1083"/>
      <w:bookmarkEnd w:id="1084"/>
      <w:bookmarkEnd w:id="1085"/>
      <w:bookmarkEnd w:id="1086"/>
    </w:p>
    <w:p>
      <w:pPr>
        <w:pStyle w:val="5"/>
        <w:ind w:firstLine="482"/>
        <w:rPr>
          <w:color w:val="auto"/>
        </w:rPr>
      </w:pPr>
      <w:bookmarkStart w:id="1087" w:name="_Toc25010"/>
      <w:bookmarkStart w:id="1088" w:name="_Toc19391"/>
      <w:bookmarkStart w:id="1089" w:name="_Toc119872535"/>
      <w:bookmarkStart w:id="1090" w:name="_Toc124612968"/>
      <w:r>
        <w:rPr>
          <w:rFonts w:hint="eastAsia"/>
          <w:color w:val="auto"/>
        </w:rPr>
        <w:t>2.1 初步评审标准</w:t>
      </w:r>
      <w:bookmarkEnd w:id="1087"/>
      <w:bookmarkEnd w:id="1088"/>
      <w:bookmarkEnd w:id="1089"/>
      <w:bookmarkEnd w:id="109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2.1.1 形式评审标准：见评标办法前附表。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2.1.2 资格评审标准：见评标办法前附表。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2.1.3 响应性评审标准：见评标办法前附表。</w:t>
      </w:r>
    </w:p>
    <w:p>
      <w:pPr>
        <w:pStyle w:val="4"/>
        <w:ind w:firstLine="482"/>
        <w:rPr>
          <w:color w:val="auto"/>
        </w:rPr>
      </w:pPr>
      <w:bookmarkStart w:id="1091" w:name="_Toc119872536"/>
      <w:bookmarkStart w:id="1092" w:name="_Toc124612969"/>
      <w:bookmarkStart w:id="1093" w:name="_Toc6871"/>
      <w:bookmarkStart w:id="1094" w:name="_Toc28217"/>
      <w:r>
        <w:rPr>
          <w:rFonts w:hint="eastAsia"/>
          <w:color w:val="auto"/>
        </w:rPr>
        <w:t>3. 评标程序</w:t>
      </w:r>
      <w:bookmarkEnd w:id="1091"/>
      <w:bookmarkEnd w:id="1092"/>
      <w:bookmarkEnd w:id="1093"/>
      <w:bookmarkEnd w:id="1094"/>
    </w:p>
    <w:p>
      <w:pPr>
        <w:pStyle w:val="5"/>
        <w:ind w:firstLine="482"/>
        <w:rPr>
          <w:color w:val="auto"/>
        </w:rPr>
      </w:pPr>
      <w:bookmarkStart w:id="1095" w:name="_Toc11713"/>
      <w:bookmarkStart w:id="1096" w:name="_Toc124612970"/>
      <w:bookmarkStart w:id="1097" w:name="_Toc29832"/>
      <w:bookmarkStart w:id="1098" w:name="_Toc119872537"/>
      <w:r>
        <w:rPr>
          <w:rFonts w:hint="eastAsia"/>
          <w:color w:val="auto"/>
        </w:rPr>
        <w:t>3.1 初步评审</w:t>
      </w:r>
      <w:bookmarkEnd w:id="1095"/>
      <w:bookmarkEnd w:id="1096"/>
      <w:bookmarkEnd w:id="1097"/>
      <w:bookmarkEnd w:id="109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 评标委员会依据本章第2.1款规定的标准对投标文件进行初步评审。有一项不符合评审标准的，评标委员会应当否决其投标。对于开标过程中，投标人对开标有异议且成立的，须由评标委员会进行评审确认的，评标委员会应对开标的异议进行评审确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评标委员会在评标开始前将借助惠州市公共资源交易中心建设工程招投标交易平台对所有投标人的投标文件进行电子清标，电子清标的内容如下：</w:t>
      </w:r>
    </w:p>
    <w:p>
      <w:pPr>
        <w:pStyle w:val="2"/>
        <w:ind w:firstLine="480"/>
        <w:rPr>
          <w:rFonts w:ascii="宋体" w:hAnsi="宋体" w:cs="宋体"/>
          <w:color w:val="auto"/>
          <w:sz w:val="24"/>
        </w:rPr>
      </w:pPr>
    </w:p>
    <w:tbl>
      <w:tblPr>
        <w:tblStyle w:val="46"/>
        <w:tblW w:w="9111" w:type="dxa"/>
        <w:tblInd w:w="0" w:type="dxa"/>
        <w:tblLayout w:type="fixed"/>
        <w:tblCellMar>
          <w:top w:w="0" w:type="dxa"/>
          <w:left w:w="0" w:type="dxa"/>
          <w:bottom w:w="0" w:type="dxa"/>
          <w:right w:w="0" w:type="dxa"/>
        </w:tblCellMar>
      </w:tblPr>
      <w:tblGrid>
        <w:gridCol w:w="663"/>
        <w:gridCol w:w="1335"/>
        <w:gridCol w:w="2370"/>
        <w:gridCol w:w="4743"/>
      </w:tblGrid>
      <w:tr>
        <w:tblPrEx>
          <w:tblCellMar>
            <w:top w:w="0" w:type="dxa"/>
            <w:left w:w="0" w:type="dxa"/>
            <w:bottom w:w="0" w:type="dxa"/>
            <w:right w:w="0"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序号</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清标功能分类</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清标检查项</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说明</w:t>
            </w:r>
          </w:p>
        </w:tc>
      </w:tr>
      <w:tr>
        <w:tblPrEx>
          <w:tblCellMar>
            <w:top w:w="0" w:type="dxa"/>
            <w:left w:w="0" w:type="dxa"/>
            <w:bottom w:w="0" w:type="dxa"/>
            <w:right w:w="0" w:type="dxa"/>
          </w:tblCellMar>
        </w:tblPrEx>
        <w:trPr>
          <w:trHeight w:val="40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特征码检测</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szCs w:val="21"/>
              </w:rPr>
              <w:t>网卡地址及IP地址</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硬盘序列号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软件序列号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符合性检查项</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清单编码</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清单名称</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项目特征</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计量单位</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清单工程量</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漏项、增项</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一致性检查项</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清单合价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清单综合单价*清单工程量</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分部分项合计</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SUM（清单合价）</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单位工程总价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分部分项+措施项目+其他项目+规费+税金</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工程项目总价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SUM（单位工程总价+其他费用）</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费率</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投标书费率=招标控制价费率</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绿色施工安全防护措施费金额</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投标绿色施工安全防护措施费金额=招标文件绿色施工安全防护措施费金额</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暂列金额</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投标书暂列金额=招标控制价暂列金额</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计日工数量</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投标书计日工数量=招标控制价计日工数量</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暂估价金额</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投标书专业工程暂估价金额=招标控制价专业工程暂估价金额</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评标指定材料价格上限</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评标指定材料价格有没超出招标控制价的±15%</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单位工程最高限价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每个单位工程的总价都不超过设定的最高限价</w:t>
            </w:r>
          </w:p>
        </w:tc>
      </w:tr>
    </w:tbl>
    <w:p>
      <w:pPr>
        <w:pStyle w:val="2"/>
        <w:rPr>
          <w:rFonts w:ascii="宋体" w:hAnsi="宋体"/>
          <w:color w:val="auto"/>
        </w:rPr>
      </w:pP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3.1.2 投标人有以下情形之一的，评标委员会应当否决其投标（其中第（2-16）在评标时借助惠州市公共资源交易中心建设工程招投标交易平台检测情况进行判定）：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（1）第二章“投标须知”第1.4.2项、第1.4.3项规定的任何一种情形的；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（2）投标人的投标文件编制及上传的网卡地址、IP地址、MAC地址、</w:t>
      </w:r>
      <w:r>
        <w:rPr>
          <w:rFonts w:hint="eastAsia" w:ascii="宋体" w:hAnsi="宋体"/>
          <w:color w:val="auto"/>
          <w:sz w:val="24"/>
        </w:rPr>
        <w:t>硬盘序列号、软件序列号的特征码和投标文件内容，经检测存在同一网卡</w:t>
      </w:r>
      <w:r>
        <w:rPr>
          <w:rFonts w:hint="eastAsia" w:ascii="宋体" w:hAnsi="宋体" w:cs="宋体"/>
          <w:color w:val="auto"/>
          <w:sz w:val="24"/>
        </w:rPr>
        <w:t>地址、MAC</w:t>
      </w:r>
      <w:r>
        <w:rPr>
          <w:rFonts w:hint="eastAsia" w:ascii="宋体" w:hAnsi="宋体"/>
          <w:color w:val="auto"/>
          <w:sz w:val="24"/>
        </w:rPr>
        <w:t>地址、</w:t>
      </w:r>
      <w:r>
        <w:rPr>
          <w:rFonts w:ascii="宋体" w:hAnsi="宋体"/>
          <w:color w:val="auto"/>
          <w:sz w:val="24"/>
        </w:rPr>
        <w:t>IP地址、硬盘序列号、软件序列号和投标文件异常一致的；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（3）投标保证金未按规定提交或不同投标人的投标保证金从同一单位或者个人的账户转出；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4）上传的投标文件未按照招标文件规定的投标书格式编制的；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5）投标报价超出本招标文件规定的有效范围或清单报价与上传的投标书中报价不一致；</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6）不同投标人委托同一单位或者个人办理投标事宜的；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7）不同投标人的投标文件载明的项目组织机构成员为同一人；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8）违反国家标准《建设工程工程量清单计价规范》（GB50500-2013）强制性条文的；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9）没有按招标文件要求报价，减少或修改招标文件提供的工程量清单与数量的；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（10）绿色施工安全防护措施费未按要求单列，或报价与招标文件指定金额不符的；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（11）规费、税金未按规定标准计取或未计取，暂列金额未按招标文件指定金额报价的；</w:t>
      </w:r>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（12）投标报价中指定的20种主要材料、设备（以标底为样本，按单项材料费占整个材料费的比重和材料在工程中的重要性抽取，具体内容以相应专业的</w:t>
      </w:r>
      <w:r>
        <w:rPr>
          <w:rFonts w:hint="eastAsia" w:ascii="宋体" w:hAnsi="宋体"/>
          <w:color w:val="auto"/>
          <w:sz w:val="24"/>
        </w:rPr>
        <w:t>工程量清单指定的材料为准）的任何一种单价超出标底单价±</w:t>
      </w:r>
      <w:r>
        <w:rPr>
          <w:rFonts w:ascii="宋体" w:hAnsi="宋体"/>
          <w:color w:val="auto"/>
          <w:sz w:val="24"/>
        </w:rPr>
        <w:t>15%范围以外的；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13）不同投标人的投标文件异常一致或者投标报价呈规律性差异的；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14）不同投标人编制的投标文件的实质性内容存在两处以上细节错误一致的；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15）不同投标人的投标文件由同一投标人送达或者分发的；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16）参加投标活动的人员为同一标段其他投标人的在职人员的；</w:t>
      </w:r>
    </w:p>
    <w:p>
      <w:pPr>
        <w:adjustRightInd w:val="0"/>
        <w:snapToGrid w:val="0"/>
        <w:spacing w:line="360" w:lineRule="auto"/>
        <w:ind w:firstLine="480" w:firstLineChars="200"/>
        <w:rPr>
          <w:rFonts w:ascii="宋体" w:hAnsi="宋体" w:cs="宋体"/>
          <w:bCs/>
          <w:color w:val="auto"/>
          <w:sz w:val="24"/>
        </w:rPr>
      </w:pPr>
      <w:r>
        <w:rPr>
          <w:rFonts w:hint="eastAsia" w:ascii="宋体" w:hAnsi="宋体"/>
          <w:color w:val="auto"/>
          <w:sz w:val="24"/>
        </w:rPr>
        <w:t>（</w:t>
      </w:r>
      <w:r>
        <w:rPr>
          <w:rFonts w:ascii="宋体" w:hAnsi="宋体"/>
          <w:color w:val="auto"/>
          <w:sz w:val="24"/>
        </w:rPr>
        <w:t>17）串通投标或弄虚</w:t>
      </w:r>
      <w:r>
        <w:rPr>
          <w:rFonts w:hint="eastAsia" w:ascii="宋体" w:hAnsi="宋体" w:cs="宋体"/>
          <w:bCs/>
          <w:color w:val="auto"/>
          <w:sz w:val="24"/>
        </w:rPr>
        <w:t>作假或有其他违法行为的；</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（18）不按评标委员会要求澄清、说明或补正的；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（19）投标文件内容及责任不响应招标文件要求的；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bCs/>
          <w:color w:val="auto"/>
          <w:sz w:val="24"/>
        </w:rPr>
        <w:t>（20）法律、行政法规规定的其他禁止情形。</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3.1.3投标文件中投标函的投标报价金额与惠州市公共资源交易中心建设工程招投标交易平台上传的XML2.0投标报价金额不一致的，评标委员会应当否决其投标。</w:t>
      </w:r>
    </w:p>
    <w:p>
      <w:pPr>
        <w:pStyle w:val="5"/>
        <w:ind w:firstLine="482"/>
        <w:rPr>
          <w:color w:val="auto"/>
        </w:rPr>
      </w:pPr>
      <w:bookmarkStart w:id="1099" w:name="_Toc27652"/>
      <w:bookmarkStart w:id="1100" w:name="_Toc10632"/>
      <w:bookmarkStart w:id="1101" w:name="_Toc119872538"/>
      <w:bookmarkStart w:id="1102" w:name="_Toc124612971"/>
      <w:bookmarkStart w:id="1103" w:name="_Toc17967"/>
      <w:r>
        <w:rPr>
          <w:rFonts w:hint="eastAsia"/>
          <w:color w:val="auto"/>
        </w:rPr>
        <w:t xml:space="preserve">3.2 </w:t>
      </w:r>
      <w:bookmarkEnd w:id="1099"/>
      <w:bookmarkEnd w:id="1100"/>
      <w:bookmarkStart w:id="1104" w:name="_Toc12841"/>
      <w:r>
        <w:rPr>
          <w:rFonts w:hint="eastAsia"/>
          <w:color w:val="auto"/>
        </w:rPr>
        <w:t>投标文件的澄清和补正</w:t>
      </w:r>
      <w:bookmarkEnd w:id="1101"/>
      <w:bookmarkEnd w:id="1102"/>
      <w:bookmarkEnd w:id="1103"/>
      <w:bookmarkEnd w:id="110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3.2.1在评标过程中，评标委员会可以书面形式要求投标人对所提交投标文件中不明确的内容进行书面澄清或说明，或者对细微偏差进行补正。评标委员会不接受投标人主动提出的澄清、说明或补正。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 澄清、说明和补正不得改变投标文件的实质性内容。投标人的书面澄清、说明和补正属于投标文件的组成部分。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 评标委员会对投标人提交的澄清、说明或补正有疑问的，可以要求投标人进一步澄清、说明或补正，直至满足评标委员会的要求。</w:t>
      </w:r>
    </w:p>
    <w:p>
      <w:pPr>
        <w:pStyle w:val="5"/>
        <w:ind w:firstLine="482"/>
        <w:rPr>
          <w:color w:val="auto"/>
          <w:sz w:val="32"/>
        </w:rPr>
      </w:pPr>
      <w:bookmarkStart w:id="1105" w:name="_Toc124612972"/>
      <w:bookmarkStart w:id="1106" w:name="_Toc119872539"/>
      <w:bookmarkStart w:id="1107" w:name="_Toc17144"/>
      <w:bookmarkStart w:id="1108" w:name="_Toc27424"/>
      <w:r>
        <w:rPr>
          <w:rFonts w:hint="eastAsia"/>
          <w:color w:val="auto"/>
        </w:rPr>
        <w:t>3.3 评标结果</w:t>
      </w:r>
      <w:bookmarkEnd w:id="1105"/>
      <w:bookmarkEnd w:id="1106"/>
      <w:bookmarkEnd w:id="1107"/>
      <w:bookmarkEnd w:id="1108"/>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3.4.1</w:t>
      </w:r>
      <w:r>
        <w:rPr>
          <w:rFonts w:hint="eastAsia" w:ascii="宋体" w:hAnsi="宋体" w:cs="宋体"/>
          <w:color w:val="auto"/>
          <w:sz w:val="24"/>
          <w:highlight w:val="none"/>
        </w:rPr>
        <w:t>评标委员会完成评标后，应当向招标人提交书面评标报告，将通过初步评审的投标人全部推荐为中标候选人。</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3.4.2</w:t>
      </w:r>
      <w:r>
        <w:rPr>
          <w:rFonts w:hint="eastAsia" w:ascii="宋体" w:hAnsi="宋体"/>
          <w:color w:val="auto"/>
          <w:sz w:val="24"/>
        </w:rPr>
        <w:t>招标人不接受非中标人的查询，也不对不中标原因作出任何解释。</w:t>
      </w:r>
    </w:p>
    <w:p>
      <w:pPr>
        <w:pStyle w:val="3"/>
        <w:ind w:firstLine="482" w:firstLineChars="200"/>
        <w:rPr>
          <w:color w:val="auto"/>
        </w:rPr>
      </w:pPr>
      <w:bookmarkStart w:id="2189" w:name="_GoBack"/>
      <w:bookmarkEnd w:id="2189"/>
      <w:r>
        <w:rPr>
          <w:color w:val="auto"/>
          <w:sz w:val="24"/>
          <w:szCs w:val="24"/>
        </w:rPr>
        <w:br w:type="page"/>
      </w:r>
      <w:bookmarkStart w:id="1109" w:name="_Toc112"/>
      <w:bookmarkStart w:id="1110" w:name="_Toc119872540"/>
      <w:bookmarkStart w:id="1111" w:name="_Toc20831"/>
      <w:bookmarkStart w:id="1112" w:name="_Toc124612973"/>
      <w:r>
        <w:rPr>
          <w:rFonts w:hint="eastAsia"/>
          <w:color w:val="auto"/>
        </w:rPr>
        <w:t>第三章 评标办法（定量评审）</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109"/>
      <w:bookmarkEnd w:id="1110"/>
      <w:bookmarkEnd w:id="1111"/>
      <w:bookmarkEnd w:id="1112"/>
    </w:p>
    <w:p>
      <w:pPr>
        <w:pStyle w:val="4"/>
        <w:ind w:firstLine="482"/>
        <w:jc w:val="center"/>
        <w:rPr>
          <w:color w:val="auto"/>
        </w:rPr>
      </w:pPr>
      <w:bookmarkStart w:id="1113" w:name="_Toc26752"/>
      <w:bookmarkStart w:id="1114" w:name="_Toc247085757"/>
      <w:bookmarkStart w:id="1115" w:name="_Toc26262"/>
      <w:bookmarkStart w:id="1116" w:name="_Toc246996242"/>
      <w:bookmarkStart w:id="1117" w:name="_Toc24668"/>
      <w:bookmarkStart w:id="1118" w:name="_Toc24835"/>
      <w:bookmarkStart w:id="1119" w:name="_Toc32025"/>
      <w:bookmarkStart w:id="1120" w:name="_Toc3858"/>
      <w:bookmarkStart w:id="1121" w:name="_Toc152042376"/>
      <w:bookmarkStart w:id="1122" w:name="_Toc124612974"/>
      <w:bookmarkStart w:id="1123" w:name="_Toc4078372"/>
      <w:bookmarkStart w:id="1124" w:name="_Toc179632617"/>
      <w:bookmarkStart w:id="1125" w:name="_Toc5169"/>
      <w:bookmarkStart w:id="1126" w:name="_Toc119872541"/>
      <w:bookmarkStart w:id="1127" w:name="_Toc246996985"/>
      <w:bookmarkStart w:id="1128" w:name="_Toc152045599"/>
      <w:bookmarkStart w:id="1129" w:name="_Toc144974566"/>
      <w:r>
        <w:rPr>
          <w:rFonts w:hint="eastAsia"/>
          <w:color w:val="auto"/>
        </w:rPr>
        <w:t>评标办法前附表</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tbl>
      <w:tblPr>
        <w:tblStyle w:val="46"/>
        <w:tblW w:w="90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114"/>
        <w:gridCol w:w="2226"/>
        <w:gridCol w:w="4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trPr>
        <w:tc>
          <w:tcPr>
            <w:tcW w:w="2041" w:type="dxa"/>
            <w:gridSpan w:val="2"/>
            <w:tcBorders>
              <w:top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条款号</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评审因素</w:t>
            </w:r>
          </w:p>
        </w:tc>
        <w:tc>
          <w:tcPr>
            <w:tcW w:w="4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restart"/>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2.1.1</w:t>
            </w:r>
          </w:p>
        </w:tc>
        <w:tc>
          <w:tcPr>
            <w:tcW w:w="1114" w:type="dxa"/>
            <w:vMerge w:val="restart"/>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形式评审标准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签章或盖章要求</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符合第二章“投标须知”第3.6.3项规定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联合体投标人（如有）</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0"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其他要求</w:t>
            </w:r>
          </w:p>
        </w:tc>
        <w:tc>
          <w:tcPr>
            <w:tcW w:w="4792"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没有出现本评标办法初步评审3.1.2款规定的情形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restart"/>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2.1.2</w:t>
            </w:r>
          </w:p>
        </w:tc>
        <w:tc>
          <w:tcPr>
            <w:tcW w:w="1114" w:type="dxa"/>
            <w:vMerge w:val="restart"/>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资格评审标准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营业执照</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安全生产许可证</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资质等级</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管理班子人员</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通过惠州市建筑业信用信息平台信用信息录入</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09"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业绩要求（如有）</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8"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联合体投标人（如有）</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nil"/>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其他要求</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2.1.3</w:t>
            </w:r>
          </w:p>
        </w:tc>
        <w:tc>
          <w:tcPr>
            <w:tcW w:w="1114" w:type="dxa"/>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响应性</w:t>
            </w:r>
          </w:p>
          <w:p>
            <w:pPr>
              <w:jc w:val="center"/>
              <w:rPr>
                <w:rFonts w:ascii="宋体" w:hAnsi="宋体" w:cs="宋体"/>
                <w:color w:val="auto"/>
                <w:szCs w:val="21"/>
              </w:rPr>
            </w:pPr>
            <w:r>
              <w:rPr>
                <w:rFonts w:hint="eastAsia" w:ascii="宋体" w:hAnsi="宋体" w:cs="宋体"/>
                <w:color w:val="auto"/>
                <w:szCs w:val="21"/>
              </w:rPr>
              <w:t>评审</w:t>
            </w:r>
          </w:p>
          <w:p>
            <w:pPr>
              <w:jc w:val="center"/>
              <w:rPr>
                <w:rFonts w:ascii="宋体" w:hAnsi="宋体" w:cs="宋体"/>
                <w:color w:val="auto"/>
                <w:szCs w:val="21"/>
              </w:rPr>
            </w:pPr>
            <w:r>
              <w:rPr>
                <w:rFonts w:hint="eastAsia" w:ascii="宋体" w:hAnsi="宋体" w:cs="宋体"/>
                <w:color w:val="auto"/>
                <w:szCs w:val="21"/>
              </w:rPr>
              <w:t>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投标报价</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top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投标内容</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工期</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工程质量</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olor w:val="auto"/>
                <w:szCs w:val="21"/>
              </w:rPr>
              <w:t>符合第二章“投标须知”第1.3.3项规定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投标有效期</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olor w:val="auto"/>
                <w:szCs w:val="21"/>
              </w:rPr>
              <w:t>符合第二章“投标须知”第3.3.1项规定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投标保证金</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符合第二章“投标须知”第3.4项规定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已标价工程量清单</w:t>
            </w:r>
          </w:p>
        </w:tc>
        <w:tc>
          <w:tcPr>
            <w:tcW w:w="479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color w:val="auto"/>
              </w:rPr>
            </w:pPr>
            <w:r>
              <w:rPr>
                <w:rFonts w:hint="eastAsia" w:ascii="宋体" w:hAnsi="宋体" w:cs="宋体"/>
                <w:color w:val="auto"/>
                <w:szCs w:val="21"/>
              </w:rPr>
              <w:t>符合第六章工程量清单要求及本章初步评审3.1.2款规定的情形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权利义务</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符合第五章“合同格式及主要条款”规定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技术标准和要求</w:t>
            </w:r>
          </w:p>
        </w:tc>
        <w:tc>
          <w:tcPr>
            <w:tcW w:w="4792" w:type="dxa"/>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符合第八章“技术标准和要求”规定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trPr>
        <w:tc>
          <w:tcPr>
            <w:tcW w:w="2041" w:type="dxa"/>
            <w:gridSpan w:val="2"/>
            <w:tcBorders>
              <w:top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条款号</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条款内容</w:t>
            </w:r>
          </w:p>
        </w:tc>
        <w:tc>
          <w:tcPr>
            <w:tcW w:w="4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2041" w:type="dxa"/>
            <w:gridSpan w:val="2"/>
            <w:tcBorders>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2.2.1</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分值构成</w:t>
            </w:r>
          </w:p>
          <w:p>
            <w:pPr>
              <w:jc w:val="center"/>
              <w:rPr>
                <w:rFonts w:ascii="宋体" w:hAnsi="宋体" w:cs="宋体"/>
                <w:color w:val="auto"/>
                <w:szCs w:val="21"/>
              </w:rPr>
            </w:pPr>
            <w:r>
              <w:rPr>
                <w:rFonts w:hint="eastAsia" w:ascii="宋体" w:hAnsi="宋体" w:cs="宋体"/>
                <w:color w:val="auto"/>
                <w:szCs w:val="21"/>
              </w:rPr>
              <w:t>（总分100分）</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投标报价：</w:t>
            </w:r>
            <w:r>
              <w:rPr>
                <w:rFonts w:ascii="宋体" w:hAnsi="宋体"/>
                <w:color w:val="auto"/>
                <w:szCs w:val="21"/>
              </w:rPr>
              <w:t>40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施工组织设计：</w:t>
            </w:r>
            <w:r>
              <w:rPr>
                <w:rFonts w:ascii="宋体" w:hAnsi="宋体"/>
                <w:color w:val="auto"/>
                <w:szCs w:val="21"/>
              </w:rPr>
              <w:t>30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项目管理机构：</w:t>
            </w:r>
            <w:r>
              <w:rPr>
                <w:rFonts w:ascii="宋体" w:hAnsi="宋体"/>
                <w:color w:val="auto"/>
                <w:szCs w:val="21"/>
              </w:rPr>
              <w:t>10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其他因素：</w:t>
            </w:r>
            <w:r>
              <w:rPr>
                <w:rFonts w:ascii="宋体" w:hAnsi="宋体"/>
                <w:color w:val="auto"/>
                <w:szCs w:val="21"/>
              </w:rPr>
              <w:t>10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信用等级得分：</w:t>
            </w:r>
            <w:r>
              <w:rPr>
                <w:rFonts w:ascii="宋体" w:hAnsi="宋体"/>
                <w:color w:val="auto"/>
                <w:szCs w:val="21"/>
              </w:rPr>
              <w:t>10</w:t>
            </w:r>
            <w:r>
              <w:rPr>
                <w:rFonts w:hint="eastAsia" w:ascii="宋体" w:hAnsi="宋体"/>
                <w:color w:val="auto"/>
                <w:szCs w:val="21"/>
              </w:rPr>
              <w:t>分</w:t>
            </w:r>
          </w:p>
          <w:p>
            <w:pPr>
              <w:pStyle w:val="2"/>
              <w:ind w:firstLine="0" w:firstLineChars="0"/>
              <w:rPr>
                <w:rFonts w:ascii="宋体" w:hAnsi="宋体"/>
                <w:color w:val="auto"/>
                <w:szCs w:val="21"/>
              </w:rPr>
            </w:pPr>
            <w:r>
              <w:rPr>
                <w:rFonts w:hint="eastAsia" w:ascii="宋体" w:hAnsi="宋体" w:cs="宋体"/>
                <w:color w:val="auto"/>
                <w:szCs w:val="21"/>
              </w:rPr>
              <w:t>说明：（对于招标项目所需企业资质级别已是最低资质等级的，不得设置其他因素要求。其他因素10分可分配给施工组织设计或投标报价评分标准。）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trPr>
        <w:tc>
          <w:tcPr>
            <w:tcW w:w="2041" w:type="dxa"/>
            <w:gridSpan w:val="2"/>
            <w:tcBorders>
              <w:top w:val="nil"/>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b/>
                <w:color w:val="auto"/>
                <w:szCs w:val="21"/>
              </w:rPr>
              <w:t>条款号</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评分因素</w:t>
            </w:r>
          </w:p>
        </w:tc>
        <w:tc>
          <w:tcPr>
            <w:tcW w:w="4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4" w:hRule="atLeast"/>
        </w:trPr>
        <w:tc>
          <w:tcPr>
            <w:tcW w:w="2041"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2.2.2</w:t>
            </w:r>
          </w:p>
          <w:p>
            <w:pPr>
              <w:jc w:val="center"/>
              <w:rPr>
                <w:rFonts w:ascii="宋体" w:hAnsi="宋体" w:cs="宋体"/>
                <w:b/>
                <w:color w:val="auto"/>
                <w:szCs w:val="21"/>
              </w:rPr>
            </w:pPr>
            <w:r>
              <w:rPr>
                <w:rFonts w:hint="eastAsia" w:ascii="宋体" w:hAnsi="宋体" w:cs="宋体"/>
                <w:color w:val="auto"/>
                <w:szCs w:val="21"/>
              </w:rPr>
              <w:t>（1）</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投标报价评分标准</w:t>
            </w:r>
          </w:p>
          <w:p>
            <w:pPr>
              <w:pStyle w:val="2"/>
              <w:rPr>
                <w:rFonts w:ascii="宋体" w:hAnsi="宋体"/>
                <w:color w:val="auto"/>
                <w:szCs w:val="21"/>
              </w:rPr>
            </w:pPr>
            <w:r>
              <w:rPr>
                <w:rFonts w:hint="eastAsia" w:ascii="宋体" w:hAnsi="宋体" w:cs="宋体"/>
                <w:color w:val="auto"/>
                <w:szCs w:val="21"/>
              </w:rPr>
              <w:t>（40分）</w:t>
            </w:r>
          </w:p>
        </w:tc>
        <w:tc>
          <w:tcPr>
            <w:tcW w:w="4792"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auto"/>
                <w:szCs w:val="21"/>
              </w:rPr>
            </w:pPr>
            <w:r>
              <w:rPr>
                <w:rFonts w:hint="eastAsia" w:ascii="宋体" w:hAnsi="宋体" w:cs="宋体"/>
                <w:color w:val="auto"/>
                <w:szCs w:val="21"/>
              </w:rPr>
              <w:t>1.评标价的确定：</w:t>
            </w:r>
          </w:p>
          <w:p>
            <w:pPr>
              <w:pStyle w:val="2"/>
              <w:rPr>
                <w:rFonts w:ascii="宋体" w:hAnsi="宋体" w:cs="宋体"/>
                <w:color w:val="auto"/>
                <w:szCs w:val="21"/>
              </w:rPr>
            </w:pPr>
            <w:r>
              <w:rPr>
                <w:rFonts w:hint="eastAsia" w:ascii="宋体" w:hAnsi="宋体" w:cs="宋体"/>
                <w:color w:val="auto"/>
                <w:szCs w:val="21"/>
              </w:rPr>
              <w:t>评标价=投标函的投标总报价</w:t>
            </w:r>
          </w:p>
          <w:p>
            <w:pPr>
              <w:pStyle w:val="2"/>
              <w:rPr>
                <w:rFonts w:ascii="宋体" w:hAnsi="宋体" w:cs="宋体"/>
                <w:color w:val="auto"/>
                <w:szCs w:val="21"/>
              </w:rPr>
            </w:pPr>
            <w:r>
              <w:rPr>
                <w:rFonts w:hint="eastAsia" w:ascii="宋体" w:hAnsi="宋体" w:cs="宋体"/>
                <w:color w:val="auto"/>
                <w:szCs w:val="21"/>
              </w:rPr>
              <w:t>2.确定随机因子</w:t>
            </w:r>
          </w:p>
          <w:p>
            <w:pPr>
              <w:pStyle w:val="2"/>
              <w:rPr>
                <w:rFonts w:ascii="宋体" w:hAnsi="宋体" w:cs="宋体"/>
                <w:color w:val="auto"/>
                <w:szCs w:val="21"/>
              </w:rPr>
            </w:pPr>
            <w:r>
              <w:rPr>
                <w:rFonts w:hint="eastAsia" w:ascii="宋体" w:hAnsi="宋体" w:cs="宋体"/>
                <w:color w:val="auto"/>
                <w:szCs w:val="21"/>
              </w:rPr>
              <w:t>随机因子在评标现场由评标委员会采取随机抽取的方式确定。随机因子数值范围为0%～3%，每隔0.1%为一档，共31个数值。</w:t>
            </w:r>
          </w:p>
          <w:p>
            <w:pPr>
              <w:pStyle w:val="2"/>
              <w:rPr>
                <w:rFonts w:ascii="宋体" w:hAnsi="宋体" w:cs="宋体"/>
                <w:color w:val="auto"/>
                <w:szCs w:val="21"/>
              </w:rPr>
            </w:pPr>
            <w:r>
              <w:rPr>
                <w:rFonts w:hint="eastAsia" w:ascii="宋体" w:hAnsi="宋体" w:cs="宋体"/>
                <w:color w:val="auto"/>
                <w:szCs w:val="21"/>
              </w:rPr>
              <w:t>3.确定最高评标限价</w:t>
            </w:r>
          </w:p>
          <w:p>
            <w:pPr>
              <w:pStyle w:val="2"/>
              <w:rPr>
                <w:rFonts w:ascii="宋体" w:hAnsi="宋体" w:cs="宋体"/>
                <w:color w:val="auto"/>
                <w:szCs w:val="21"/>
              </w:rPr>
            </w:pPr>
            <w:r>
              <w:rPr>
                <w:rFonts w:hint="eastAsia" w:ascii="宋体" w:hAnsi="宋体" w:cs="宋体"/>
                <w:color w:val="auto"/>
                <w:szCs w:val="21"/>
              </w:rPr>
              <w:t>最高评标限价＝最高投标限价（即招标控制价）×（1－随机因子）</w:t>
            </w:r>
          </w:p>
          <w:p>
            <w:pPr>
              <w:pStyle w:val="2"/>
              <w:rPr>
                <w:rFonts w:ascii="宋体" w:hAnsi="宋体" w:cs="宋体"/>
                <w:color w:val="auto"/>
                <w:szCs w:val="21"/>
              </w:rPr>
            </w:pPr>
            <w:r>
              <w:rPr>
                <w:rFonts w:hint="eastAsia" w:ascii="宋体" w:hAnsi="宋体" w:cs="宋体"/>
                <w:color w:val="auto"/>
                <w:szCs w:val="21"/>
              </w:rPr>
              <w:t>4.参与评标基准价计算的评标价平均值的确定：</w:t>
            </w:r>
          </w:p>
          <w:p>
            <w:pPr>
              <w:pStyle w:val="2"/>
              <w:rPr>
                <w:rFonts w:ascii="宋体" w:hAnsi="宋体" w:cs="宋体"/>
                <w:color w:val="auto"/>
                <w:szCs w:val="21"/>
              </w:rPr>
            </w:pPr>
            <w:r>
              <w:rPr>
                <w:rFonts w:hint="eastAsia" w:ascii="宋体" w:hAnsi="宋体" w:cs="宋体"/>
                <w:color w:val="auto"/>
                <w:szCs w:val="21"/>
              </w:rPr>
              <w:t>① 确定参与评标基准价计算的评标价的范围：最高评标限价的85%≤参与评标基准价计算的评标价≤最高评标限价的100%。大于最高评标限价的100%的评标价以及小于最高评标限价的85%的评标价不参与评标基准价的计算，但仍参与投标报价得分的计算。</w:t>
            </w:r>
          </w:p>
          <w:p>
            <w:pPr>
              <w:pStyle w:val="2"/>
              <w:rPr>
                <w:rFonts w:ascii="宋体" w:hAnsi="宋体" w:cs="宋体"/>
                <w:color w:val="auto"/>
                <w:szCs w:val="21"/>
              </w:rPr>
            </w:pPr>
            <w:r>
              <w:rPr>
                <w:rFonts w:hint="eastAsia" w:ascii="宋体" w:hAnsi="宋体" w:cs="宋体"/>
                <w:color w:val="auto"/>
                <w:szCs w:val="21"/>
              </w:rPr>
              <w:t>② 参与评标基准价的评标价平均值的计算方式：除被宣布为无效投标的投标人投标报价之外，在上述确定的参与评标基准价计算的评标价中去掉一个最高值和一个最低值后的算术平均值即为参与评标基准价计算的有效评标价平均值（如果参与评标价平均值计算的有效投标人少于5家时，则计算上述平均值时不去掉最高值和最低值）；</w:t>
            </w:r>
          </w:p>
          <w:p>
            <w:pPr>
              <w:pStyle w:val="2"/>
              <w:rPr>
                <w:rFonts w:ascii="宋体" w:hAnsi="宋体" w:cs="宋体"/>
                <w:color w:val="auto"/>
                <w:szCs w:val="21"/>
              </w:rPr>
            </w:pPr>
            <w:r>
              <w:rPr>
                <w:rFonts w:hint="eastAsia" w:ascii="宋体" w:hAnsi="宋体" w:cs="宋体"/>
                <w:color w:val="auto"/>
                <w:szCs w:val="21"/>
              </w:rPr>
              <w:t>5.评标基准价的确定：</w:t>
            </w:r>
          </w:p>
          <w:p>
            <w:pPr>
              <w:pStyle w:val="2"/>
              <w:rPr>
                <w:rFonts w:ascii="宋体" w:hAnsi="宋体" w:cs="宋体"/>
                <w:color w:val="auto"/>
                <w:szCs w:val="21"/>
              </w:rPr>
            </w:pPr>
            <w:r>
              <w:rPr>
                <w:rFonts w:hint="eastAsia" w:ascii="宋体" w:hAnsi="宋体" w:cs="宋体"/>
                <w:color w:val="auto"/>
                <w:szCs w:val="21"/>
              </w:rPr>
              <w:t>评标基准价=最高评标限价×0.7+评标价平均值×0.3</w:t>
            </w:r>
          </w:p>
          <w:p>
            <w:pPr>
              <w:pStyle w:val="2"/>
              <w:rPr>
                <w:rFonts w:ascii="宋体" w:hAnsi="宋体" w:cs="宋体"/>
                <w:color w:val="auto"/>
                <w:szCs w:val="21"/>
              </w:rPr>
            </w:pPr>
            <w:r>
              <w:rPr>
                <w:rFonts w:hint="eastAsia" w:ascii="宋体" w:hAnsi="宋体" w:cs="宋体"/>
                <w:color w:val="auto"/>
                <w:szCs w:val="21"/>
              </w:rPr>
              <w:t>若投标人的评标价均小于最高评标限价的85%时，则以最高评标限价的85%为评标基准价；若投标人的评标价均大于最高评标限价时，则以最高评标限价为评标基准价。</w:t>
            </w:r>
          </w:p>
          <w:p>
            <w:pPr>
              <w:pStyle w:val="2"/>
              <w:rPr>
                <w:rFonts w:ascii="宋体" w:hAnsi="宋体" w:cs="宋体"/>
                <w:color w:val="auto"/>
                <w:szCs w:val="21"/>
              </w:rPr>
            </w:pPr>
            <w:r>
              <w:rPr>
                <w:rFonts w:hint="eastAsia" w:ascii="宋体" w:hAnsi="宋体" w:cs="宋体"/>
                <w:color w:val="auto"/>
                <w:szCs w:val="21"/>
              </w:rPr>
              <w:t>评标委员会应对投标总报价小于最高投标限价（即招标控制价）85％的投标人启动澄清程序，要求投标人作出书面说明并提供相关证明材料。投标人不能合理说明或者不能提供相关证明资料的，评标委员会应认定该投标人以低于成本报价竞标，否决其投标。当所有投标人的投标因此种情况被否决；或当因此种情况被否决部分投标人后，有效投标人不足三家，评标委员会认为竞争不足的情况出现时，评标委员会应否决全部投标。</w:t>
            </w:r>
          </w:p>
          <w:p>
            <w:pPr>
              <w:pStyle w:val="2"/>
              <w:rPr>
                <w:rFonts w:ascii="宋体" w:hAnsi="宋体" w:cs="宋体"/>
                <w:color w:val="auto"/>
                <w:szCs w:val="21"/>
              </w:rPr>
            </w:pPr>
            <w:r>
              <w:rPr>
                <w:rFonts w:hint="eastAsia" w:ascii="宋体" w:hAnsi="宋体" w:cs="宋体"/>
                <w:color w:val="auto"/>
                <w:szCs w:val="21"/>
              </w:rPr>
              <w:t>6.计算偏差率</w:t>
            </w:r>
          </w:p>
          <w:p>
            <w:pPr>
              <w:pStyle w:val="2"/>
              <w:rPr>
                <w:rFonts w:ascii="宋体" w:hAnsi="宋体" w:cs="宋体"/>
                <w:color w:val="auto"/>
                <w:szCs w:val="21"/>
              </w:rPr>
            </w:pPr>
            <w:r>
              <w:rPr>
                <w:rFonts w:hint="eastAsia" w:ascii="宋体" w:hAnsi="宋体" w:cs="宋体"/>
                <w:color w:val="auto"/>
                <w:szCs w:val="21"/>
              </w:rPr>
              <w:t>偏差率=100%×（投标人投标报价－评标基准价）÷评标基准价</w:t>
            </w:r>
          </w:p>
          <w:p>
            <w:pPr>
              <w:pStyle w:val="2"/>
              <w:rPr>
                <w:rFonts w:ascii="宋体" w:hAnsi="宋体" w:cs="宋体"/>
                <w:color w:val="auto"/>
                <w:szCs w:val="21"/>
              </w:rPr>
            </w:pPr>
            <w:r>
              <w:rPr>
                <w:rFonts w:hint="eastAsia" w:ascii="宋体" w:hAnsi="宋体" w:cs="宋体"/>
                <w:color w:val="auto"/>
                <w:szCs w:val="21"/>
              </w:rPr>
              <w:t>7.投标报价得分</w:t>
            </w:r>
          </w:p>
          <w:p>
            <w:pPr>
              <w:pStyle w:val="2"/>
              <w:rPr>
                <w:rFonts w:ascii="宋体" w:hAnsi="宋体" w:cs="宋体"/>
                <w:color w:val="auto"/>
                <w:szCs w:val="21"/>
              </w:rPr>
            </w:pPr>
            <w:r>
              <w:rPr>
                <w:rFonts w:hint="eastAsia" w:ascii="宋体" w:hAnsi="宋体" w:cs="宋体"/>
                <w:color w:val="auto"/>
                <w:szCs w:val="21"/>
              </w:rPr>
              <w:t>（1）投标人投标报价＞评标基准价的，投标报价得分=40－偏差率×100×1；</w:t>
            </w:r>
          </w:p>
          <w:p>
            <w:pPr>
              <w:pStyle w:val="2"/>
              <w:rPr>
                <w:rFonts w:ascii="宋体" w:hAnsi="宋体" w:cs="宋体"/>
                <w:color w:val="auto"/>
                <w:szCs w:val="21"/>
              </w:rPr>
            </w:pPr>
            <w:r>
              <w:rPr>
                <w:rFonts w:hint="eastAsia" w:ascii="宋体" w:hAnsi="宋体" w:cs="宋体"/>
                <w:color w:val="auto"/>
                <w:szCs w:val="21"/>
              </w:rPr>
              <w:t>（2）投标人投标报价≤评标基准价的，投标报价得分=40+偏差率×100×0.5。</w:t>
            </w:r>
          </w:p>
          <w:p>
            <w:pPr>
              <w:pStyle w:val="2"/>
              <w:rPr>
                <w:rFonts w:ascii="宋体" w:hAnsi="宋体" w:cs="宋体"/>
                <w:color w:val="auto"/>
                <w:szCs w:val="21"/>
              </w:rPr>
            </w:pPr>
            <w:r>
              <w:rPr>
                <w:rFonts w:hint="eastAsia" w:ascii="宋体" w:hAnsi="宋体" w:cs="宋体"/>
                <w:color w:val="auto"/>
                <w:szCs w:val="21"/>
              </w:rPr>
              <w:t>注：所有数值保留小数点后两位，小数点后第三位“四舍五入”。投标报价得分最高得40分、最低为0分。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9" w:hRule="atLeast"/>
        </w:trPr>
        <w:tc>
          <w:tcPr>
            <w:tcW w:w="927" w:type="dxa"/>
            <w:vMerge w:val="restart"/>
            <w:tcBorders>
              <w:top w:val="single" w:color="auto" w:sz="4" w:space="0"/>
              <w:right w:val="single" w:color="auto" w:sz="4" w:space="0"/>
            </w:tcBorders>
            <w:vAlign w:val="center"/>
          </w:tcPr>
          <w:p>
            <w:pPr>
              <w:jc w:val="center"/>
              <w:rPr>
                <w:rFonts w:ascii="宋体" w:hAnsi="宋体" w:cs="宋体"/>
                <w:color w:val="auto"/>
                <w:szCs w:val="21"/>
              </w:rPr>
            </w:pPr>
            <w:bookmarkStart w:id="1130" w:name="_Hlk124608834"/>
            <w:r>
              <w:rPr>
                <w:rFonts w:hint="eastAsia" w:ascii="宋体" w:hAnsi="宋体" w:cs="宋体"/>
                <w:color w:val="auto"/>
                <w:szCs w:val="21"/>
              </w:rPr>
              <w:t>2.2.3（1）</w:t>
            </w:r>
          </w:p>
        </w:tc>
        <w:tc>
          <w:tcPr>
            <w:tcW w:w="1114" w:type="dxa"/>
            <w:vMerge w:val="restart"/>
            <w:tcBorders>
              <w:top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施工组织设计评分标准</w:t>
            </w:r>
          </w:p>
          <w:p>
            <w:pPr>
              <w:pStyle w:val="2"/>
              <w:ind w:firstLine="0" w:firstLineChars="0"/>
              <w:jc w:val="center"/>
              <w:rPr>
                <w:rFonts w:ascii="宋体" w:hAnsi="宋体"/>
                <w:color w:val="auto"/>
                <w:szCs w:val="21"/>
              </w:rPr>
            </w:pPr>
            <w:r>
              <w:rPr>
                <w:rFonts w:hint="eastAsia" w:ascii="宋体" w:hAnsi="宋体" w:cs="宋体"/>
                <w:color w:val="auto"/>
                <w:szCs w:val="21"/>
              </w:rPr>
              <w:t>（30分）</w:t>
            </w: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总体概述：施工程序总体设想及施工段划分</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09"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施工进度计划和各阶段进度的保证措施及违约责任承诺</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76"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劳动力和材料投入计划及其保证措施</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76"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机械设备投入计划及检测设备</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76"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施工平面布置和临时设施布置</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09"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关键施工技术、工艺及工程项目实施的重点、难点和解决方案</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3"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安全文明措施（涉及危大工程的，须补充完善危大工程清单并明确相应的安全管理措施）</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3"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质量保证与承诺</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3"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扬尘污染防治方案</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3" w:hRule="atLeast"/>
        </w:trPr>
        <w:tc>
          <w:tcPr>
            <w:tcW w:w="927"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用工实名管理方案</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3" w:hRule="atLeast"/>
        </w:trPr>
        <w:tc>
          <w:tcPr>
            <w:tcW w:w="927"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服务方案</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对投标人自中标到竣工验收以及保修期各关键节点的服务承诺以及服务便利性进行评分。</w:t>
            </w:r>
          </w:p>
        </w:tc>
      </w:tr>
      <w:bookmarkEnd w:id="113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1" w:hRule="atLeast"/>
        </w:trPr>
        <w:tc>
          <w:tcPr>
            <w:tcW w:w="927" w:type="dxa"/>
            <w:vMerge w:val="restart"/>
            <w:tcBorders>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2.2.3</w:t>
            </w:r>
          </w:p>
          <w:p>
            <w:pPr>
              <w:jc w:val="center"/>
              <w:rPr>
                <w:rFonts w:ascii="宋体" w:hAnsi="宋体" w:cs="宋体"/>
                <w:color w:val="auto"/>
                <w:szCs w:val="21"/>
              </w:rPr>
            </w:pPr>
            <w:r>
              <w:rPr>
                <w:rFonts w:hint="eastAsia" w:ascii="宋体" w:hAnsi="宋体" w:cs="宋体"/>
                <w:color w:val="auto"/>
                <w:szCs w:val="21"/>
              </w:rPr>
              <w:t>（2）</w:t>
            </w:r>
          </w:p>
        </w:tc>
        <w:tc>
          <w:tcPr>
            <w:tcW w:w="1114" w:type="dxa"/>
            <w:vMerge w:val="restart"/>
            <w:tcBorders>
              <w:right w:val="single" w:color="auto" w:sz="4" w:space="0"/>
            </w:tcBorders>
            <w:vAlign w:val="center"/>
          </w:tcPr>
          <w:p>
            <w:pPr>
              <w:jc w:val="center"/>
              <w:rPr>
                <w:rFonts w:ascii="宋体" w:hAnsi="宋体"/>
                <w:color w:val="auto"/>
                <w:szCs w:val="21"/>
              </w:rPr>
            </w:pPr>
            <w:r>
              <w:rPr>
                <w:rFonts w:hint="eastAsia" w:ascii="宋体" w:hAnsi="宋体"/>
                <w:color w:val="auto"/>
                <w:szCs w:val="21"/>
              </w:rPr>
              <w:t>项目管理机构评分标准</w:t>
            </w:r>
          </w:p>
          <w:p>
            <w:pPr>
              <w:pStyle w:val="2"/>
              <w:ind w:firstLine="0" w:firstLineChars="0"/>
              <w:jc w:val="center"/>
              <w:rPr>
                <w:rFonts w:ascii="宋体" w:hAnsi="宋体"/>
                <w:color w:val="auto"/>
                <w:szCs w:val="21"/>
              </w:rPr>
            </w:pPr>
            <w:r>
              <w:rPr>
                <w:rFonts w:hint="eastAsia" w:ascii="宋体" w:hAnsi="宋体" w:cs="宋体"/>
                <w:color w:val="auto"/>
                <w:szCs w:val="21"/>
              </w:rPr>
              <w:t>（10分）</w:t>
            </w: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项目负责人任职资格</w:t>
            </w:r>
          </w:p>
          <w:p>
            <w:pPr>
              <w:jc w:val="left"/>
              <w:rPr>
                <w:rFonts w:ascii="宋体" w:hAnsi="宋体" w:cs="宋体"/>
                <w:color w:val="auto"/>
                <w:szCs w:val="21"/>
              </w:rPr>
            </w:pPr>
            <w:r>
              <w:rPr>
                <w:rFonts w:hint="eastAsia" w:ascii="宋体" w:hAnsi="宋体" w:cs="宋体"/>
                <w:color w:val="auto"/>
                <w:szCs w:val="21"/>
              </w:rPr>
              <w:t>与业绩</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招标人根据项目特点设置，但不得违反法律法规的规定。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0" w:hRule="atLeast"/>
        </w:trPr>
        <w:tc>
          <w:tcPr>
            <w:tcW w:w="927" w:type="dxa"/>
            <w:vMerge w:val="continue"/>
            <w:tcBorders>
              <w:right w:val="single" w:color="auto" w:sz="4" w:space="0"/>
            </w:tcBorders>
            <w:vAlign w:val="center"/>
          </w:tcPr>
          <w:p>
            <w:pPr>
              <w:jc w:val="center"/>
              <w:rPr>
                <w:rFonts w:ascii="宋体" w:hAnsi="宋体" w:cs="宋体"/>
                <w:color w:val="auto"/>
                <w:szCs w:val="21"/>
              </w:rPr>
            </w:pPr>
          </w:p>
        </w:tc>
        <w:tc>
          <w:tcPr>
            <w:tcW w:w="1114" w:type="dxa"/>
            <w:vMerge w:val="continue"/>
            <w:tcBorders>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其他主要人员</w:t>
            </w:r>
          </w:p>
        </w:tc>
        <w:tc>
          <w:tcPr>
            <w:tcW w:w="47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color w:val="auto"/>
                <w:szCs w:val="21"/>
              </w:rPr>
            </w:pPr>
            <w:r>
              <w:rPr>
                <w:rFonts w:hint="eastAsia" w:ascii="宋体" w:hAnsi="宋体" w:cs="宋体"/>
                <w:color w:val="auto"/>
                <w:szCs w:val="21"/>
              </w:rPr>
              <w:t>招标人根据项目特点设置，但不得违反有关法律法规的规定。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atLeast"/>
        </w:trPr>
        <w:tc>
          <w:tcPr>
            <w:tcW w:w="927"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4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trPr>
        <w:tc>
          <w:tcPr>
            <w:tcW w:w="9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2.2.3（3）</w:t>
            </w:r>
          </w:p>
        </w:tc>
        <w:tc>
          <w:tcPr>
            <w:tcW w:w="11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其他因素评分标准</w:t>
            </w:r>
          </w:p>
          <w:p>
            <w:pPr>
              <w:pStyle w:val="2"/>
              <w:ind w:firstLine="0" w:firstLineChars="0"/>
              <w:jc w:val="center"/>
              <w:rPr>
                <w:rFonts w:ascii="宋体" w:hAnsi="宋体"/>
                <w:color w:val="auto"/>
                <w:szCs w:val="21"/>
              </w:rPr>
            </w:pPr>
            <w:r>
              <w:rPr>
                <w:rFonts w:hint="eastAsia" w:ascii="宋体" w:hAnsi="宋体" w:cs="宋体"/>
                <w:color w:val="auto"/>
                <w:szCs w:val="21"/>
              </w:rPr>
              <w:t>（10分）</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类似工程业绩</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招标人根据项目特点设置，但不得违反法律法规的规定。</w:t>
            </w:r>
          </w:p>
          <w:p>
            <w:pPr>
              <w:pStyle w:val="2"/>
              <w:ind w:firstLine="0" w:firstLineChars="0"/>
              <w:rPr>
                <w:rFonts w:ascii="宋体" w:hAnsi="宋体"/>
                <w:color w:val="auto"/>
                <w:szCs w:val="21"/>
              </w:rPr>
            </w:pPr>
            <w:r>
              <w:rPr>
                <w:rFonts w:hint="eastAsia" w:ascii="宋体" w:hAnsi="宋体"/>
                <w:color w:val="auto"/>
                <w:szCs w:val="21"/>
              </w:rPr>
              <w:t>“类似工程”，是指按《住房城乡建设部关于印发〈建筑业企业资质标准〉的通知》（建市〔</w:t>
            </w:r>
            <w:r>
              <w:rPr>
                <w:rFonts w:ascii="宋体" w:hAnsi="宋体"/>
                <w:color w:val="auto"/>
                <w:szCs w:val="21"/>
              </w:rPr>
              <w:t>2014</w:t>
            </w:r>
            <w:r>
              <w:rPr>
                <w:rFonts w:hint="eastAsia" w:ascii="宋体" w:hAnsi="宋体"/>
                <w:color w:val="auto"/>
                <w:szCs w:val="21"/>
              </w:rPr>
              <w:t>〕</w:t>
            </w:r>
            <w:r>
              <w:rPr>
                <w:rFonts w:ascii="宋体" w:hAnsi="宋体"/>
                <w:color w:val="auto"/>
                <w:szCs w:val="21"/>
              </w:rPr>
              <w:t>159</w:t>
            </w:r>
            <w:r>
              <w:rPr>
                <w:rFonts w:hint="eastAsia" w:ascii="宋体" w:hAnsi="宋体"/>
                <w:color w:val="auto"/>
                <w:szCs w:val="21"/>
              </w:rPr>
              <w:t>号）等企业资质管理规定，应当采用的资质类别与招标项目应当采用的资质类别相同的工程。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14"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荣誉信誉</w:t>
            </w:r>
          </w:p>
        </w:tc>
        <w:tc>
          <w:tcPr>
            <w:tcW w:w="4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招标人根据项目特点设置，但不得违反有关法律法规的规定。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35" w:hRule="atLeast"/>
        </w:trPr>
        <w:tc>
          <w:tcPr>
            <w:tcW w:w="927"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1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4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83" w:hRule="atLeast"/>
        </w:trPr>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2.2.3（4）</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信用等级得分</w:t>
            </w:r>
          </w:p>
          <w:p>
            <w:pPr>
              <w:pStyle w:val="2"/>
              <w:ind w:firstLine="0" w:firstLineChars="0"/>
              <w:jc w:val="center"/>
              <w:rPr>
                <w:rFonts w:ascii="宋体" w:hAnsi="宋体"/>
                <w:color w:val="auto"/>
                <w:szCs w:val="21"/>
              </w:rPr>
            </w:pPr>
            <w:r>
              <w:rPr>
                <w:rFonts w:hint="eastAsia" w:ascii="宋体" w:hAnsi="宋体" w:cs="宋体"/>
                <w:color w:val="auto"/>
                <w:szCs w:val="21"/>
              </w:rPr>
              <w:t>（10分）</w:t>
            </w:r>
          </w:p>
        </w:tc>
        <w:tc>
          <w:tcPr>
            <w:tcW w:w="22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信用等级得分</w:t>
            </w:r>
          </w:p>
        </w:tc>
        <w:tc>
          <w:tcPr>
            <w:tcW w:w="479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auto"/>
                <w:szCs w:val="21"/>
              </w:rPr>
            </w:pPr>
            <w:r>
              <w:rPr>
                <w:rFonts w:hint="eastAsia" w:ascii="宋体" w:hAnsi="宋体" w:cs="宋体"/>
                <w:color w:val="auto"/>
                <w:szCs w:val="21"/>
              </w:rPr>
              <w:t>根据投标人在惠州市建筑业信用信息平台公布的企业信用排行情况进行打分：</w:t>
            </w:r>
          </w:p>
          <w:p>
            <w:pPr>
              <w:ind w:firstLine="420" w:firstLineChars="200"/>
              <w:rPr>
                <w:rFonts w:ascii="宋体" w:hAnsi="宋体" w:cs="宋体"/>
                <w:color w:val="auto"/>
                <w:szCs w:val="21"/>
              </w:rPr>
            </w:pPr>
            <w:r>
              <w:rPr>
                <w:rFonts w:hint="eastAsia" w:ascii="宋体" w:hAnsi="宋体" w:cs="宋体"/>
                <w:color w:val="auto"/>
                <w:szCs w:val="21"/>
              </w:rPr>
              <w:t>获得最高等级的，得10分；</w:t>
            </w:r>
          </w:p>
          <w:p>
            <w:pPr>
              <w:ind w:firstLine="420" w:firstLineChars="200"/>
              <w:rPr>
                <w:rFonts w:ascii="宋体" w:hAnsi="宋体" w:cs="宋体"/>
                <w:color w:val="auto"/>
                <w:szCs w:val="21"/>
              </w:rPr>
            </w:pPr>
            <w:r>
              <w:rPr>
                <w:rFonts w:hint="eastAsia" w:ascii="宋体" w:hAnsi="宋体" w:cs="宋体"/>
                <w:color w:val="auto"/>
                <w:szCs w:val="21"/>
              </w:rPr>
              <w:t>获得第二高等级的，得8分；</w:t>
            </w:r>
          </w:p>
          <w:p>
            <w:pPr>
              <w:ind w:firstLine="420" w:firstLineChars="200"/>
              <w:rPr>
                <w:rFonts w:ascii="宋体" w:hAnsi="宋体" w:cs="宋体"/>
                <w:color w:val="auto"/>
                <w:szCs w:val="21"/>
              </w:rPr>
            </w:pPr>
            <w:r>
              <w:rPr>
                <w:rFonts w:hint="eastAsia" w:ascii="宋体" w:hAnsi="宋体" w:cs="宋体"/>
                <w:color w:val="auto"/>
                <w:szCs w:val="21"/>
              </w:rPr>
              <w:t>获得第三高等级的，得6分；</w:t>
            </w:r>
          </w:p>
          <w:p>
            <w:pPr>
              <w:ind w:firstLine="420" w:firstLineChars="200"/>
              <w:rPr>
                <w:rFonts w:ascii="宋体" w:hAnsi="宋体" w:cs="宋体"/>
                <w:color w:val="auto"/>
                <w:szCs w:val="21"/>
              </w:rPr>
            </w:pPr>
            <w:r>
              <w:rPr>
                <w:rFonts w:hint="eastAsia" w:ascii="宋体" w:hAnsi="宋体" w:cs="宋体"/>
                <w:color w:val="auto"/>
                <w:szCs w:val="21"/>
              </w:rPr>
              <w:t>其他不得分。</w:t>
            </w:r>
          </w:p>
          <w:p>
            <w:pPr>
              <w:rPr>
                <w:rFonts w:ascii="宋体" w:hAnsi="宋体" w:cs="宋体"/>
                <w:color w:val="auto"/>
                <w:szCs w:val="21"/>
              </w:rPr>
            </w:pPr>
            <w:r>
              <w:rPr>
                <w:rFonts w:hint="eastAsia" w:ascii="宋体" w:hAnsi="宋体" w:cs="宋体"/>
                <w:color w:val="auto"/>
                <w:szCs w:val="21"/>
              </w:rPr>
              <w:t>（注：投标人应在投标文件中提供惠州市建筑业信用信息平台查询结果截图打印件，未提供的不得分）。</w:t>
            </w:r>
          </w:p>
        </w:tc>
      </w:tr>
    </w:tbl>
    <w:p>
      <w:pPr>
        <w:pStyle w:val="4"/>
        <w:ind w:firstLine="482"/>
        <w:rPr>
          <w:color w:val="auto"/>
        </w:rPr>
      </w:pPr>
      <w:bookmarkStart w:id="1131" w:name="_Toc152045600"/>
      <w:bookmarkStart w:id="1132" w:name="_Toc246996243"/>
      <w:bookmarkStart w:id="1133" w:name="_Toc152042377"/>
      <w:bookmarkStart w:id="1134" w:name="_Toc144974567"/>
      <w:bookmarkStart w:id="1135" w:name="_Toc247085758"/>
      <w:bookmarkStart w:id="1136" w:name="_Toc179632618"/>
      <w:bookmarkStart w:id="1137" w:name="_Toc246996986"/>
      <w:r>
        <w:rPr>
          <w:rFonts w:hint="eastAsia"/>
          <w:color w:val="auto"/>
        </w:rPr>
        <w:br w:type="page"/>
      </w:r>
      <w:bookmarkStart w:id="1138" w:name="_Toc16518"/>
      <w:bookmarkStart w:id="1139" w:name="_Toc28619"/>
      <w:bookmarkStart w:id="1140" w:name="_Toc119872542"/>
      <w:bookmarkStart w:id="1141" w:name="_Toc5268"/>
      <w:bookmarkStart w:id="1142" w:name="_Toc5477"/>
      <w:bookmarkStart w:id="1143" w:name="_Toc14364"/>
      <w:bookmarkStart w:id="1144" w:name="_Toc1357"/>
      <w:bookmarkStart w:id="1145" w:name="_Toc23885"/>
      <w:bookmarkStart w:id="1146" w:name="_Toc4078373"/>
      <w:bookmarkStart w:id="1147" w:name="_Toc124612975"/>
      <w:r>
        <w:rPr>
          <w:rFonts w:hint="eastAsia"/>
          <w:color w:val="auto"/>
        </w:rPr>
        <w:t>1. 评标方法</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次评标采用定量评审法。评标委员会对满足招标文件实质性要求的投标文件，按照本章第2.2款规定的评分标准进行打分，并按得分由高到低顺序推荐中标候选人，但投标报价低于其成本的除外。总得分相等时，以投标报价低的优先；投标报价也相等的，由招标人或其授权的评标委员会自行确定。</w:t>
      </w:r>
    </w:p>
    <w:p>
      <w:pPr>
        <w:pStyle w:val="4"/>
        <w:ind w:firstLine="482"/>
        <w:rPr>
          <w:color w:val="auto"/>
        </w:rPr>
      </w:pPr>
      <w:bookmarkStart w:id="1148" w:name="_Toc144974568"/>
      <w:bookmarkStart w:id="1149" w:name="_Toc124612976"/>
      <w:bookmarkStart w:id="1150" w:name="_Toc30987"/>
      <w:bookmarkStart w:id="1151" w:name="_Toc246996244"/>
      <w:bookmarkStart w:id="1152" w:name="_Toc11859"/>
      <w:bookmarkStart w:id="1153" w:name="_Toc20543"/>
      <w:bookmarkStart w:id="1154" w:name="_Toc246996987"/>
      <w:bookmarkStart w:id="1155" w:name="_Toc247085759"/>
      <w:bookmarkStart w:id="1156" w:name="_Toc119872543"/>
      <w:bookmarkStart w:id="1157" w:name="_Toc179632619"/>
      <w:bookmarkStart w:id="1158" w:name="_Toc13269"/>
      <w:bookmarkStart w:id="1159" w:name="_Toc3700"/>
      <w:bookmarkStart w:id="1160" w:name="_Toc152042378"/>
      <w:bookmarkStart w:id="1161" w:name="_Toc3544"/>
      <w:bookmarkStart w:id="1162" w:name="_Toc152045601"/>
      <w:bookmarkStart w:id="1163" w:name="_Toc24287"/>
      <w:bookmarkStart w:id="1164" w:name="_Toc4078374"/>
      <w:r>
        <w:rPr>
          <w:rFonts w:hint="eastAsia"/>
          <w:color w:val="auto"/>
        </w:rPr>
        <w:t>2. 评审标准</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pStyle w:val="5"/>
        <w:ind w:firstLine="482"/>
        <w:rPr>
          <w:color w:val="auto"/>
        </w:rPr>
      </w:pPr>
      <w:bookmarkStart w:id="1165" w:name="_Toc119872544"/>
      <w:bookmarkStart w:id="1166" w:name="_Toc246996988"/>
      <w:bookmarkStart w:id="1167" w:name="_Toc28690"/>
      <w:bookmarkStart w:id="1168" w:name="_Toc4078375"/>
      <w:bookmarkStart w:id="1169" w:name="_Toc21445"/>
      <w:bookmarkStart w:id="1170" w:name="_Toc16487"/>
      <w:bookmarkStart w:id="1171" w:name="_Toc179632620"/>
      <w:bookmarkStart w:id="1172" w:name="_Toc246996245"/>
      <w:bookmarkStart w:id="1173" w:name="_Toc19359"/>
      <w:bookmarkStart w:id="1174" w:name="_Toc16762"/>
      <w:bookmarkStart w:id="1175" w:name="_Toc247085760"/>
      <w:bookmarkStart w:id="1176" w:name="_Toc10480"/>
      <w:bookmarkStart w:id="1177" w:name="_Toc144974569"/>
      <w:bookmarkStart w:id="1178" w:name="_Toc152045602"/>
      <w:bookmarkStart w:id="1179" w:name="_Toc152042379"/>
      <w:bookmarkStart w:id="1180" w:name="_Toc124612977"/>
      <w:bookmarkStart w:id="1181" w:name="_Toc14673"/>
      <w:r>
        <w:rPr>
          <w:rFonts w:hint="eastAsia"/>
          <w:color w:val="auto"/>
        </w:rPr>
        <w:t>2.1 初步评审标准</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2.1.1 形式评审标准：见评标办法前附表。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2.1.2 资格评审标准：见评标办法前附表。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2.1.3 响应性评审标准：见评标办法前附表。</w:t>
      </w:r>
    </w:p>
    <w:p>
      <w:pPr>
        <w:pStyle w:val="5"/>
        <w:ind w:firstLine="482"/>
        <w:rPr>
          <w:color w:val="auto"/>
        </w:rPr>
      </w:pPr>
      <w:bookmarkStart w:id="1182" w:name="_Toc144974570"/>
      <w:bookmarkStart w:id="1183" w:name="_Toc119872545"/>
      <w:bookmarkStart w:id="1184" w:name="_Toc10067"/>
      <w:bookmarkStart w:id="1185" w:name="_Toc124612978"/>
      <w:bookmarkStart w:id="1186" w:name="_Toc5087"/>
      <w:bookmarkStart w:id="1187" w:name="_Toc7657"/>
      <w:bookmarkStart w:id="1188" w:name="_Toc18416"/>
      <w:bookmarkStart w:id="1189" w:name="_Toc179632621"/>
      <w:bookmarkStart w:id="1190" w:name="_Toc152045603"/>
      <w:bookmarkStart w:id="1191" w:name="_Toc246996989"/>
      <w:bookmarkStart w:id="1192" w:name="_Toc152042380"/>
      <w:bookmarkStart w:id="1193" w:name="_Toc30152"/>
      <w:bookmarkStart w:id="1194" w:name="_Toc4078376"/>
      <w:bookmarkStart w:id="1195" w:name="_Toc12529"/>
      <w:bookmarkStart w:id="1196" w:name="_Toc246996246"/>
      <w:bookmarkStart w:id="1197" w:name="_Toc19072"/>
      <w:bookmarkStart w:id="1198" w:name="_Toc247085761"/>
      <w:r>
        <w:rPr>
          <w:rFonts w:hint="eastAsia"/>
          <w:color w:val="auto"/>
        </w:rPr>
        <w:t>2.2 分值构成与评分标准</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2.2.1 分值构成</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（1）施工组织设计：见评标办法前附表；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（2）项目管理机构：见评标办法前附表；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（3）投标报价：见评标办法前附表；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（4）其他因素：见评标办法前附表；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（5）信用等级得分：见评标办法前附表。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2.2.2 评分标准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（1）投标报价评分标准：见评标办法前附表；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2.2.3 评分标准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（1）施工组织设计评分标准：见评标办法前附表；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（2）项目管理机构评分标准：见评标办法前附表；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（3）其他因素评分标准：见评标办法前附表；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（4）信用等级得分标准：见评标办法前附表。</w:t>
      </w:r>
    </w:p>
    <w:p>
      <w:pPr>
        <w:pStyle w:val="4"/>
        <w:ind w:firstLine="482"/>
        <w:rPr>
          <w:color w:val="auto"/>
        </w:rPr>
      </w:pPr>
      <w:bookmarkStart w:id="1199" w:name="_Toc152042381"/>
      <w:bookmarkStart w:id="1200" w:name="_Toc25539"/>
      <w:bookmarkStart w:id="1201" w:name="_Toc119872546"/>
      <w:bookmarkStart w:id="1202" w:name="_Toc20424"/>
      <w:bookmarkStart w:id="1203" w:name="_Toc247085762"/>
      <w:bookmarkStart w:id="1204" w:name="_Toc26303"/>
      <w:bookmarkStart w:id="1205" w:name="_Toc246996247"/>
      <w:bookmarkStart w:id="1206" w:name="_Toc6054"/>
      <w:bookmarkStart w:id="1207" w:name="_Toc144974571"/>
      <w:bookmarkStart w:id="1208" w:name="_Toc179632622"/>
      <w:bookmarkStart w:id="1209" w:name="_Toc152045604"/>
      <w:bookmarkStart w:id="1210" w:name="_Toc4078377"/>
      <w:bookmarkStart w:id="1211" w:name="_Toc10362"/>
      <w:bookmarkStart w:id="1212" w:name="_Toc124612979"/>
      <w:bookmarkStart w:id="1213" w:name="_Toc246996990"/>
      <w:bookmarkStart w:id="1214" w:name="_Toc573"/>
      <w:bookmarkStart w:id="1215" w:name="_Toc1929"/>
      <w:r>
        <w:rPr>
          <w:rFonts w:hint="eastAsia"/>
          <w:color w:val="auto"/>
        </w:rPr>
        <w:t>3. 评标程序</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pStyle w:val="5"/>
        <w:ind w:firstLine="482"/>
        <w:rPr>
          <w:color w:val="auto"/>
        </w:rPr>
      </w:pPr>
      <w:bookmarkStart w:id="1216" w:name="_Toc24749"/>
      <w:bookmarkStart w:id="1217" w:name="_Toc30311"/>
      <w:bookmarkStart w:id="1218" w:name="_Toc247085763"/>
      <w:bookmarkStart w:id="1219" w:name="_Toc3798"/>
      <w:bookmarkStart w:id="1220" w:name="_Toc13980"/>
      <w:bookmarkStart w:id="1221" w:name="_Toc4078378"/>
      <w:bookmarkStart w:id="1222" w:name="_Toc119872547"/>
      <w:bookmarkStart w:id="1223" w:name="_Toc144974572"/>
      <w:bookmarkStart w:id="1224" w:name="_Toc95"/>
      <w:bookmarkStart w:id="1225" w:name="_Toc124612980"/>
      <w:bookmarkStart w:id="1226" w:name="_Toc246996991"/>
      <w:bookmarkStart w:id="1227" w:name="_Toc152042382"/>
      <w:bookmarkStart w:id="1228" w:name="_Toc27715"/>
      <w:bookmarkStart w:id="1229" w:name="_Toc152045605"/>
      <w:bookmarkStart w:id="1230" w:name="_Toc24337"/>
      <w:bookmarkStart w:id="1231" w:name="_Toc246996248"/>
      <w:bookmarkStart w:id="1232" w:name="_Toc179632623"/>
      <w:r>
        <w:rPr>
          <w:rFonts w:hint="eastAsia"/>
          <w:color w:val="auto"/>
        </w:rPr>
        <w:t>3.1 初步评审</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 评标委员会依据本章第2.1款规定的标准对投标文件进行初步评审。有一项不符合评审标准的，评标委员会应当否决其投标。对于开标过程中，投标人对开标有异议且成立的，须由评标委员会进行评审确认的，评标委员会应对开标的异议进行评审确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评标委员会在评标开始前将借助惠州市公共资源交易中心建设工程招投标交易平台对所有投标人的投标文件进行电子清标，电子清标的内容如下：</w:t>
      </w:r>
    </w:p>
    <w:p>
      <w:pPr>
        <w:pStyle w:val="2"/>
        <w:ind w:firstLine="480"/>
        <w:rPr>
          <w:rFonts w:ascii="宋体" w:hAnsi="宋体" w:cs="宋体"/>
          <w:color w:val="auto"/>
          <w:sz w:val="24"/>
        </w:rPr>
      </w:pPr>
    </w:p>
    <w:tbl>
      <w:tblPr>
        <w:tblStyle w:val="46"/>
        <w:tblW w:w="9111" w:type="dxa"/>
        <w:tblInd w:w="0" w:type="dxa"/>
        <w:tblLayout w:type="fixed"/>
        <w:tblCellMar>
          <w:top w:w="0" w:type="dxa"/>
          <w:left w:w="0" w:type="dxa"/>
          <w:bottom w:w="0" w:type="dxa"/>
          <w:right w:w="0" w:type="dxa"/>
        </w:tblCellMar>
      </w:tblPr>
      <w:tblGrid>
        <w:gridCol w:w="663"/>
        <w:gridCol w:w="1335"/>
        <w:gridCol w:w="2370"/>
        <w:gridCol w:w="4743"/>
      </w:tblGrid>
      <w:tr>
        <w:tblPrEx>
          <w:tblCellMar>
            <w:top w:w="0" w:type="dxa"/>
            <w:left w:w="0" w:type="dxa"/>
            <w:bottom w:w="0" w:type="dxa"/>
            <w:right w:w="0"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序号</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清标功能分类</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清标检查项</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说明</w:t>
            </w:r>
          </w:p>
        </w:tc>
      </w:tr>
      <w:tr>
        <w:tblPrEx>
          <w:tblCellMar>
            <w:top w:w="0" w:type="dxa"/>
            <w:left w:w="0" w:type="dxa"/>
            <w:bottom w:w="0" w:type="dxa"/>
            <w:right w:w="0" w:type="dxa"/>
          </w:tblCellMar>
        </w:tblPrEx>
        <w:trPr>
          <w:trHeight w:val="40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特征码检测</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网卡地址及IP地址</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硬盘序列号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软件序列号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符合性检查项</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清单编码</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清单名称</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项目特征</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计量单位</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清单工程量</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漏项、增项</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0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一致性检查项</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清单合价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清单综合单价*清单工程量</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分部分项合计</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SUM（清单合价）</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单位工程总价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分部分项+措施项目+其他项目+规费+税金</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工程项目总价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SUM（单位工程总价+其他费用）</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费率</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投标书费率=招标控制价费率</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绿色施工安全防护措施费金额</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投标绿色施工安全防护措施费金额=招标文件绿色施工安全防护措施费金额</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暂列金额</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投标书暂列金额=招标控制价暂列金额</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计日工数量</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投标书计日工数量=招标控制价计日工数量</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暂估价金额</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投标书专业工程暂估价金额=招标控制价专业工程暂估价金额</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评标指定材料价格上限</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评标指定材料价格有没超出招标控制价的±15%</w:t>
            </w:r>
          </w:p>
        </w:tc>
      </w:tr>
      <w:tr>
        <w:tblPrEx>
          <w:tblCellMar>
            <w:top w:w="0" w:type="dxa"/>
            <w:left w:w="0" w:type="dxa"/>
            <w:bottom w:w="0" w:type="dxa"/>
            <w:right w:w="0" w:type="dxa"/>
          </w:tblCellMar>
        </w:tblPrEx>
        <w:trPr>
          <w:trHeight w:val="40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单位工程最高限价</w:t>
            </w:r>
          </w:p>
        </w:tc>
        <w:tc>
          <w:tcPr>
            <w:tcW w:w="4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每个单位工程的总价都不超过设定的最高限价</w:t>
            </w:r>
          </w:p>
        </w:tc>
      </w:tr>
    </w:tbl>
    <w:p>
      <w:pPr>
        <w:pStyle w:val="2"/>
        <w:rPr>
          <w:rFonts w:ascii="宋体" w:hAnsi="宋体"/>
          <w:color w:val="auto"/>
        </w:rPr>
      </w:pP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3.1.2 投标人有以下情形之一的，评标委员会应当否决其投标（其中第（2-16）在评标时借助惠州市公共资源交易中心建设工程招投标交易平台检测情况进行判定）：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（1）第二章“投标须知”第1.4.2项、第1.4.3项规定的任何一种情形的；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（2）投标人的投标文件编制及上传的网卡地址</w:t>
      </w:r>
      <w:r>
        <w:rPr>
          <w:rFonts w:hint="eastAsia" w:ascii="宋体" w:hAnsi="宋体"/>
          <w:color w:val="auto"/>
          <w:sz w:val="24"/>
        </w:rPr>
        <w:t>、</w:t>
      </w:r>
      <w:r>
        <w:rPr>
          <w:rFonts w:hint="eastAsia" w:ascii="宋体" w:hAnsi="宋体" w:cs="宋体"/>
          <w:color w:val="auto"/>
          <w:sz w:val="24"/>
        </w:rPr>
        <w:t>MAC地址、</w:t>
      </w:r>
      <w:r>
        <w:rPr>
          <w:rFonts w:ascii="宋体" w:hAnsi="宋体"/>
          <w:color w:val="auto"/>
          <w:sz w:val="24"/>
        </w:rPr>
        <w:t>IP地址、硬盘序列号、软件序列号的特征码和投标文件内容，经检测存在同一网卡</w:t>
      </w:r>
      <w:r>
        <w:rPr>
          <w:rFonts w:hint="eastAsia" w:ascii="宋体" w:hAnsi="宋体" w:cs="宋体"/>
          <w:color w:val="auto"/>
          <w:sz w:val="24"/>
        </w:rPr>
        <w:t>地址、MAC</w:t>
      </w:r>
      <w:r>
        <w:rPr>
          <w:rFonts w:hint="eastAsia" w:ascii="宋体" w:hAnsi="宋体"/>
          <w:color w:val="auto"/>
          <w:sz w:val="24"/>
        </w:rPr>
        <w:t>地址、</w:t>
      </w:r>
      <w:r>
        <w:rPr>
          <w:rFonts w:ascii="宋体" w:hAnsi="宋体"/>
          <w:color w:val="auto"/>
          <w:sz w:val="24"/>
        </w:rPr>
        <w:t>IP地址、硬盘序列号、软件序列号和投标文件</w:t>
      </w:r>
      <w:r>
        <w:rPr>
          <w:rFonts w:hint="eastAsia" w:ascii="宋体" w:hAnsi="宋体" w:cs="宋体"/>
          <w:color w:val="auto"/>
          <w:sz w:val="24"/>
        </w:rPr>
        <w:t>异常一致的；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（3）投标保证金未按规定提交或不同投标人的投标保证金从同一单位或者个人的账户转出；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（4）上传的投标文件未按照招标文件规定的投标书格式编制的；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（5）投标报价超出本招标文件规定的有效范围或清单报价与上传的投标书中报价不一致；</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（6）不同投标人委托同一单位或者个人办理投标事宜的；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（7）不同投标人的投标文件载明的项目组织机构成员为同一人；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（8）违反国家标准《建设工程工程量清单计价规范》（GB50500-2013）强制性条文的；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（9）没有按招标文件要求报价，减少或修改招标文件提供的工程量清单与数量的；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（10）绿色施工安全防护措施费未按要求单列，或报价与招标文件指定金额不符的；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（11）规费、税金未按规定标准计取或未计取，暂列金额未按招标文件指定金额报价的；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投标报价中指定的20种主要材料、设备（以标底为样本，按单项材料费占整个材料费的比重和材料在工程中的重要性抽取，具体内容以相应专业的工程量清单指定的材料为准）的任何一种单价超出标底单价±15%范围以外的；</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color w:val="auto"/>
          <w:sz w:val="24"/>
        </w:rPr>
        <w:t>（13）</w:t>
      </w:r>
      <w:r>
        <w:rPr>
          <w:rFonts w:hint="eastAsia" w:ascii="宋体" w:hAnsi="宋体" w:cs="宋体"/>
          <w:bCs/>
          <w:color w:val="auto"/>
          <w:sz w:val="24"/>
        </w:rPr>
        <w:t>不同投标人的投标文件异常一致或者投标报价呈规律性差异</w:t>
      </w:r>
      <w:r>
        <w:rPr>
          <w:rFonts w:hint="eastAsia" w:ascii="宋体" w:hAnsi="宋体" w:cs="宋体"/>
          <w:color w:val="auto"/>
          <w:sz w:val="24"/>
        </w:rPr>
        <w:t>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w:t>
      </w:r>
      <w:r>
        <w:rPr>
          <w:rFonts w:hint="eastAsia" w:ascii="宋体" w:hAnsi="宋体" w:cs="宋体"/>
          <w:bCs/>
          <w:color w:val="auto"/>
          <w:sz w:val="24"/>
        </w:rPr>
        <w:t>不同投标人编制的投标文件的实质性内容存在两处以上细节错误一致</w:t>
      </w:r>
      <w:r>
        <w:rPr>
          <w:rFonts w:hint="eastAsia" w:ascii="宋体" w:hAnsi="宋体" w:cs="宋体"/>
          <w:color w:val="auto"/>
          <w:sz w:val="24"/>
        </w:rPr>
        <w:t>的；</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color w:val="auto"/>
          <w:sz w:val="24"/>
        </w:rPr>
        <w:t>（15）</w:t>
      </w:r>
      <w:r>
        <w:rPr>
          <w:rFonts w:hint="eastAsia" w:ascii="宋体" w:hAnsi="宋体" w:cs="宋体"/>
          <w:bCs/>
          <w:color w:val="auto"/>
          <w:sz w:val="24"/>
        </w:rPr>
        <w:t>不同投标人的投标文件由同一投标人送达或者分发的；</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（16）参加投标活动的人员为同一标段其他投标人的在职人员的；</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（17）串通投标或弄虚作假或有其他违法行为的；</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（18）不按评标委员会要求澄清、说明或补正的；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（19）投标文件内容及责任不响应招标文件要求的；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bCs/>
          <w:color w:val="auto"/>
          <w:sz w:val="24"/>
        </w:rPr>
        <w:t>（20）法律、行政法规规定的其他禁止情形。</w:t>
      </w:r>
    </w:p>
    <w:p>
      <w:pPr>
        <w:adjustRightInd w:val="0"/>
        <w:snapToGrid w:val="0"/>
        <w:spacing w:line="360" w:lineRule="auto"/>
        <w:ind w:firstLine="480" w:firstLineChars="200"/>
        <w:rPr>
          <w:rFonts w:ascii="宋体" w:hAnsi="宋体" w:cs="宋体"/>
          <w:color w:val="auto"/>
          <w:sz w:val="24"/>
        </w:rPr>
      </w:pPr>
      <w:bookmarkStart w:id="1233" w:name="_Toc246996249"/>
      <w:bookmarkStart w:id="1234" w:name="_Toc246996992"/>
      <w:bookmarkStart w:id="1235" w:name="_Toc152045606"/>
      <w:bookmarkStart w:id="1236" w:name="_Toc144974573"/>
      <w:bookmarkStart w:id="1237" w:name="_Toc152042384"/>
      <w:bookmarkStart w:id="1238" w:name="_Toc179632624"/>
      <w:bookmarkStart w:id="1239" w:name="_Toc4078379"/>
      <w:bookmarkStart w:id="1240" w:name="_Toc247085764"/>
      <w:r>
        <w:rPr>
          <w:rFonts w:hint="eastAsia" w:ascii="宋体" w:hAnsi="宋体" w:cs="宋体"/>
          <w:color w:val="auto"/>
          <w:sz w:val="24"/>
        </w:rPr>
        <w:t>3.1.3</w:t>
      </w:r>
      <w:bookmarkStart w:id="1241" w:name="_Toc152042383"/>
      <w:r>
        <w:rPr>
          <w:rFonts w:hint="eastAsia" w:ascii="宋体" w:hAnsi="宋体" w:cs="宋体"/>
          <w:color w:val="auto"/>
          <w:sz w:val="24"/>
        </w:rPr>
        <w:t>投标文件中投标函的投标报价金额与惠州市公共资源交易中心建设工程招投标交易平台上传的XML2.0投标报价金额不一致的，评标委员会应当否决其投标。</w:t>
      </w:r>
      <w:bookmarkEnd w:id="1241"/>
    </w:p>
    <w:p>
      <w:pPr>
        <w:pStyle w:val="5"/>
        <w:ind w:firstLine="482"/>
        <w:rPr>
          <w:color w:val="auto"/>
        </w:rPr>
      </w:pPr>
      <w:bookmarkStart w:id="1242" w:name="_Toc6777"/>
      <w:bookmarkStart w:id="1243" w:name="_Toc23298"/>
      <w:bookmarkStart w:id="1244" w:name="_Toc124612981"/>
      <w:bookmarkStart w:id="1245" w:name="_Toc119872548"/>
      <w:bookmarkStart w:id="1246" w:name="_Toc26774"/>
      <w:bookmarkStart w:id="1247" w:name="_Toc28763"/>
      <w:bookmarkStart w:id="1248" w:name="_Toc17641"/>
      <w:bookmarkStart w:id="1249" w:name="_Toc24895"/>
      <w:bookmarkStart w:id="1250" w:name="_Toc12145"/>
      <w:r>
        <w:rPr>
          <w:rFonts w:hint="eastAsia"/>
          <w:color w:val="auto"/>
        </w:rPr>
        <w:t>3.2 详细评审</w:t>
      </w:r>
      <w:bookmarkEnd w:id="1233"/>
      <w:bookmarkEnd w:id="1234"/>
      <w:bookmarkEnd w:id="1235"/>
      <w:bookmarkEnd w:id="1236"/>
      <w:bookmarkEnd w:id="1237"/>
      <w:bookmarkEnd w:id="1238"/>
      <w:bookmarkEnd w:id="1239"/>
      <w:bookmarkEnd w:id="1240"/>
      <w:bookmarkEnd w:id="1242"/>
      <w:bookmarkEnd w:id="1243"/>
      <w:bookmarkEnd w:id="1244"/>
      <w:bookmarkEnd w:id="1245"/>
      <w:bookmarkEnd w:id="1246"/>
      <w:bookmarkEnd w:id="1247"/>
      <w:bookmarkEnd w:id="1248"/>
      <w:bookmarkEnd w:id="1249"/>
      <w:bookmarkEnd w:id="125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3.2.1 评标委员会按本章第2.2款规定的量化因素和分值进行打分，并计算出综合评估得分。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（1）按本章第2.2.2（1）目规定的评审因素和分值对投标报价计算出得分A；</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（2）按本章第2.2.3（1）目规定的评审因素和分值对施工组织设计计算出得分B；</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（3）按本章第2.2.3（2）目规定的评审因素和分值对项目管理机构计算出得分C；</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（4）按本章第2.2.3（3）目规定的评审因素和分值对其他因素计算出得分D；</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（5）按本章第2.2.3（4）目规定的评审因素和信用等级得分计算出得分E。</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 B、C、D、E为去掉最高分和最低分的算术平均值，评分分值计算保留小数点后两位，小数点后第三位“四舍五入”。</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 投标人得分=A+B+C+D+E。</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3.2.5评标委员会发现中标候选人报价出现不平衡报价时，应当在评标报告中载明，评标委员会在评标报告中未载明但经招标人发现中标人有不平衡报价的，招标人均保留调整不平衡报价的权利。</w:t>
      </w:r>
    </w:p>
    <w:p>
      <w:pPr>
        <w:pStyle w:val="5"/>
        <w:ind w:firstLine="482"/>
        <w:rPr>
          <w:color w:val="auto"/>
        </w:rPr>
      </w:pPr>
      <w:bookmarkStart w:id="1251" w:name="_Toc144974575"/>
      <w:bookmarkStart w:id="1252" w:name="_Toc21606"/>
      <w:bookmarkStart w:id="1253" w:name="_Toc152045607"/>
      <w:bookmarkStart w:id="1254" w:name="_Toc119872549"/>
      <w:bookmarkStart w:id="1255" w:name="_Toc124612982"/>
      <w:bookmarkStart w:id="1256" w:name="_Toc29609"/>
      <w:bookmarkStart w:id="1257" w:name="_Toc246996250"/>
      <w:bookmarkStart w:id="1258" w:name="_Toc5076"/>
      <w:bookmarkStart w:id="1259" w:name="_Toc4078380"/>
      <w:bookmarkStart w:id="1260" w:name="_Toc246996993"/>
      <w:bookmarkStart w:id="1261" w:name="_Toc179632625"/>
      <w:bookmarkStart w:id="1262" w:name="_Toc10913"/>
      <w:bookmarkStart w:id="1263" w:name="_Toc152042385"/>
      <w:bookmarkStart w:id="1264" w:name="_Toc5804"/>
      <w:bookmarkStart w:id="1265" w:name="_Toc247085765"/>
      <w:bookmarkStart w:id="1266" w:name="_Toc11008"/>
      <w:bookmarkStart w:id="1267" w:name="_Toc28871"/>
      <w:r>
        <w:rPr>
          <w:rFonts w:hint="eastAsia"/>
          <w:color w:val="auto"/>
        </w:rPr>
        <w:t>3.3 投标文件的澄清</w:t>
      </w:r>
      <w:bookmarkEnd w:id="1251"/>
      <w:r>
        <w:rPr>
          <w:rFonts w:hint="eastAsia"/>
          <w:color w:val="auto"/>
        </w:rPr>
        <w:t>和补正</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3.3.1在评标过程中，评标委员会可以书面形式要求投标人对所提交投标文件中不明确的内容进行书面澄清或说明，或者对细微偏差进行补正。评标委员会不接受投标人主动提出的澄清、说明或补正。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3.3.2 澄清、说明和补正不得改变投标文件的实质性内容。投标人的书面澄清、说明和补正属于投标文件的组成部分。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3.3.3 评标委员会对投标人提交的澄清、说明或补正有疑问的，可以要求投标人进一步澄清、说明或补正，直至满足评标委员会的要求。</w:t>
      </w:r>
    </w:p>
    <w:p>
      <w:pPr>
        <w:pStyle w:val="5"/>
        <w:ind w:firstLine="482"/>
        <w:rPr>
          <w:color w:val="auto"/>
        </w:rPr>
      </w:pPr>
      <w:bookmarkStart w:id="1268" w:name="_Toc144974576"/>
      <w:bookmarkStart w:id="1269" w:name="_Toc8733"/>
      <w:bookmarkStart w:id="1270" w:name="_Toc7295"/>
      <w:bookmarkStart w:id="1271" w:name="_Toc124612983"/>
      <w:bookmarkStart w:id="1272" w:name="_Toc152045608"/>
      <w:bookmarkStart w:id="1273" w:name="_Toc19784"/>
      <w:bookmarkStart w:id="1274" w:name="_Toc246996251"/>
      <w:bookmarkStart w:id="1275" w:name="_Toc246996994"/>
      <w:bookmarkStart w:id="1276" w:name="_Toc179632626"/>
      <w:bookmarkStart w:id="1277" w:name="_Toc18107"/>
      <w:bookmarkStart w:id="1278" w:name="_Toc2001"/>
      <w:bookmarkStart w:id="1279" w:name="_Toc4078381"/>
      <w:bookmarkStart w:id="1280" w:name="_Toc247085766"/>
      <w:bookmarkStart w:id="1281" w:name="_Toc152042386"/>
      <w:bookmarkStart w:id="1282" w:name="_Toc6182"/>
      <w:bookmarkStart w:id="1283" w:name="_Toc3672"/>
      <w:r>
        <w:rPr>
          <w:rFonts w:hint="eastAsia"/>
          <w:color w:val="auto"/>
        </w:rPr>
        <w:t>3.4 评标结果</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adjustRightInd w:val="0"/>
        <w:snapToGrid w:val="0"/>
        <w:spacing w:line="360" w:lineRule="auto"/>
        <w:ind w:firstLine="480" w:firstLineChars="200"/>
        <w:rPr>
          <w:rFonts w:ascii="宋体" w:hAnsi="宋体" w:cs="宋体"/>
          <w:color w:val="auto"/>
          <w:sz w:val="24"/>
        </w:rPr>
      </w:pPr>
      <w:bookmarkStart w:id="1284" w:name="_Toc119872551"/>
      <w:bookmarkStart w:id="1285" w:name="_Toc1945"/>
      <w:bookmarkStart w:id="1286" w:name="_Toc26472"/>
      <w:bookmarkStart w:id="1287" w:name="_Toc32120"/>
      <w:bookmarkStart w:id="1288" w:name="_Toc2432"/>
      <w:bookmarkStart w:id="1289" w:name="_Toc19610"/>
      <w:bookmarkStart w:id="1290" w:name="_Toc4078382"/>
      <w:bookmarkStart w:id="1291" w:name="_Toc910"/>
      <w:r>
        <w:rPr>
          <w:rFonts w:hint="eastAsia" w:ascii="宋体" w:hAnsi="宋体" w:cs="宋体"/>
          <w:color w:val="auto"/>
          <w:sz w:val="24"/>
        </w:rPr>
        <w:t>3.4.1 评标委员会完成评标后，应当向招标人提交书面评标报告，向招标人推荐前3～5名中标候选人，同时评标报告应对所有中标候选人</w:t>
      </w:r>
      <w:bookmarkEnd w:id="1284"/>
      <w:r>
        <w:rPr>
          <w:rFonts w:hint="eastAsia" w:ascii="宋体" w:hAnsi="宋体" w:cs="宋体"/>
          <w:color w:val="auto"/>
          <w:sz w:val="24"/>
        </w:rPr>
        <w:t>递交的投标文件的定标因素汇总列表。推荐中标候选人数量见投标须知前附表。</w:t>
      </w:r>
    </w:p>
    <w:p>
      <w:pPr>
        <w:adjustRightInd w:val="0"/>
        <w:snapToGrid w:val="0"/>
        <w:spacing w:line="360" w:lineRule="auto"/>
        <w:ind w:firstLine="480" w:firstLineChars="200"/>
        <w:rPr>
          <w:rFonts w:ascii="宋体" w:hAnsi="宋体"/>
          <w:color w:val="auto"/>
          <w:szCs w:val="21"/>
        </w:rPr>
      </w:pPr>
      <w:r>
        <w:rPr>
          <w:rFonts w:hint="eastAsia" w:ascii="宋体" w:hAnsi="宋体" w:cs="宋体"/>
          <w:color w:val="auto"/>
          <w:sz w:val="24"/>
        </w:rPr>
        <w:t>3.4.2招标人不接受非中标人的查询，也不对不中标原因作出任何解释。</w:t>
      </w:r>
      <w:bookmarkEnd w:id="1285"/>
      <w:bookmarkEnd w:id="1286"/>
      <w:bookmarkEnd w:id="1287"/>
      <w:bookmarkEnd w:id="1288"/>
      <w:bookmarkEnd w:id="1289"/>
      <w:bookmarkEnd w:id="1290"/>
      <w:bookmarkEnd w:id="1291"/>
      <w:bookmarkStart w:id="1292" w:name="_Toc23601"/>
      <w:r>
        <w:rPr>
          <w:rFonts w:hint="eastAsia" w:ascii="宋体" w:hAnsi="宋体" w:cs="宋体"/>
          <w:color w:val="auto"/>
          <w:sz w:val="24"/>
        </w:rPr>
        <w:br w:type="page"/>
      </w:r>
    </w:p>
    <w:p>
      <w:pPr>
        <w:pStyle w:val="3"/>
        <w:rPr>
          <w:color w:val="auto"/>
        </w:rPr>
      </w:pPr>
      <w:bookmarkStart w:id="1293" w:name="_Toc124612984"/>
      <w:r>
        <w:rPr>
          <w:rFonts w:hint="eastAsia"/>
          <w:color w:val="auto"/>
        </w:rPr>
        <w:t>第四章 定标办法</w:t>
      </w:r>
      <w:bookmarkEnd w:id="1293"/>
    </w:p>
    <w:p>
      <w:pPr>
        <w:pStyle w:val="4"/>
        <w:ind w:firstLine="482"/>
        <w:rPr>
          <w:color w:val="auto"/>
        </w:rPr>
      </w:pPr>
      <w:bookmarkStart w:id="1294" w:name="_Toc124612985"/>
      <w:r>
        <w:rPr>
          <w:rFonts w:hint="eastAsia"/>
          <w:color w:val="auto"/>
        </w:rPr>
        <w:t>1.定标方法</w:t>
      </w:r>
      <w:bookmarkEnd w:id="129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定标可采用票决法、集体议事法或其他定标方法（具体由招标人在招标文件中约定）。定标会议由定标委员会组长主持。定标委员会组长由招标人的法定代表人或其授权委托代表担任。</w:t>
      </w:r>
    </w:p>
    <w:p>
      <w:pPr>
        <w:adjustRightInd w:val="0"/>
        <w:snapToGrid w:val="0"/>
        <w:spacing w:line="360" w:lineRule="auto"/>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票决法。定标委员会成员每人在评标委员会推荐的中标候选人名单中选取1名进行投票，填写投票表，采用记名方式并注明推荐理由。按得票数量由多到少的顺序对评标委员会推荐的中标候选人进行排名，排名第一且超过定标委员会成员数量半数的，为第一中标候选人。如无中标候选人得票超过半数的，则对得票数量多的前两名中标候选人（如第二名有两名或以上得票数量相同，则一同进入）再次进行投票。按此原则，直至出现排名第一且票数过半的中标候选人，确定其为第一中标候选人。第二中标候选人、第三中标候选人按此方式产生。</w:t>
      </w:r>
    </w:p>
    <w:p>
      <w:pPr>
        <w:adjustRightInd w:val="0"/>
        <w:snapToGrid w:val="0"/>
        <w:spacing w:line="360" w:lineRule="auto"/>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集体议事法。定标委员会成员各自发表意见，进行集体商议和讨论，共同确定第一中标候选人、第二中标候选人、第三中标候选人。全体定标委员会成员的意见应当作书面记录，并由定标委员会成员签字确认。</w:t>
      </w:r>
    </w:p>
    <w:p>
      <w:pPr>
        <w:pStyle w:val="4"/>
        <w:ind w:firstLine="482"/>
        <w:rPr>
          <w:color w:val="auto"/>
        </w:rPr>
      </w:pPr>
      <w:bookmarkStart w:id="1295" w:name="_Toc124612986"/>
      <w:r>
        <w:rPr>
          <w:rFonts w:hint="eastAsia"/>
          <w:color w:val="auto"/>
        </w:rPr>
        <w:t>2.定标因素</w:t>
      </w:r>
      <w:bookmarkEnd w:id="129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招标人可以根据项目情况和实际需要，选择价格因素、企业实力、企业信誉、拟派团队管理能力与水平、科技创新能力、技术方案、服务、履约评价等作为定标因素。</w:t>
      </w:r>
    </w:p>
    <w:p>
      <w:pPr>
        <w:pStyle w:val="4"/>
        <w:ind w:firstLine="482"/>
        <w:rPr>
          <w:color w:val="auto"/>
        </w:rPr>
      </w:pPr>
      <w:bookmarkStart w:id="1296" w:name="_Toc124612987"/>
      <w:bookmarkStart w:id="1297" w:name="_Toc28431"/>
      <w:r>
        <w:rPr>
          <w:rFonts w:hint="eastAsia"/>
          <w:color w:val="auto"/>
        </w:rPr>
        <w:t>3.定标程序</w:t>
      </w:r>
      <w:bookmarkEnd w:id="1296"/>
    </w:p>
    <w:p>
      <w:pPr>
        <w:pStyle w:val="5"/>
        <w:ind w:firstLine="482"/>
        <w:rPr>
          <w:color w:val="auto"/>
        </w:rPr>
      </w:pPr>
      <w:bookmarkStart w:id="1298" w:name="_Toc124612988"/>
      <w:r>
        <w:rPr>
          <w:rFonts w:hint="eastAsia"/>
          <w:color w:val="auto"/>
        </w:rPr>
        <w:t>3.1票决法</w:t>
      </w:r>
      <w:bookmarkEnd w:id="129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3.1.1宣读定标纪律。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3.1.2定标委员会组长介绍项目概况。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3.1.3定标委员会全体成员根据评标报告、招标文件规定的程序和方法填写选票。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3.1.4汇总投票结果，确定第一中标候选人、第二中标候选人、第三中标候选人。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3.1.5出具定标报告、定标委员会全体成员签名。</w:t>
      </w:r>
    </w:p>
    <w:p>
      <w:pPr>
        <w:pStyle w:val="5"/>
        <w:ind w:firstLine="482"/>
        <w:rPr>
          <w:color w:val="auto"/>
        </w:rPr>
      </w:pPr>
      <w:bookmarkStart w:id="1299" w:name="_Toc124612989"/>
      <w:r>
        <w:rPr>
          <w:rFonts w:hint="eastAsia"/>
          <w:color w:val="auto"/>
        </w:rPr>
        <w:t>3.2集体议事法</w:t>
      </w:r>
      <w:bookmarkEnd w:id="129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3.2.1宣读定标纪律。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3.2.2定标委员会组长介绍项目概况。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3.2.3定标委员会全体成员根据评标报告、招标文件规定的程序和方法，各自发表意见，进行集体商议和讨论。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3.2.4汇总定标委员会意见，确定第一中标候选人、第二中标候选人、第三中标候选人。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3.2.5出具定标报告、定标委员会全体成员签名。</w:t>
      </w:r>
    </w:p>
    <w:p>
      <w:pPr>
        <w:pStyle w:val="2"/>
        <w:adjustRightInd w:val="0"/>
        <w:snapToGrid w:val="0"/>
        <w:spacing w:line="360" w:lineRule="auto"/>
        <w:ind w:firstLine="200" w:firstLineChars="0"/>
        <w:rPr>
          <w:rFonts w:ascii="宋体" w:hAnsi="宋体"/>
          <w:color w:val="auto"/>
        </w:rPr>
      </w:pPr>
      <w:bookmarkStart w:id="1300" w:name="_Toc848"/>
    </w:p>
    <w:p>
      <w:pPr>
        <w:pStyle w:val="4"/>
        <w:ind w:firstLine="482"/>
        <w:rPr>
          <w:color w:val="auto"/>
        </w:rPr>
      </w:pPr>
      <w:bookmarkStart w:id="1301" w:name="_Toc124612990"/>
      <w:r>
        <w:rPr>
          <w:rFonts w:hint="eastAsia"/>
          <w:color w:val="auto"/>
        </w:rPr>
        <w:t>4.中标人须知</w:t>
      </w:r>
      <w:bookmarkEnd w:id="1297"/>
      <w:bookmarkEnd w:id="1300"/>
      <w:bookmarkEnd w:id="1301"/>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4.1.1中标人应按照招标文件及招标人要求派驻与中标工程相适应的管理班子人员且须满足项目报建要求，派驻的管理班子人员在双方签署的施工合同中予以确定。合同约定的工程项目管理班子人员必须亲自管理施工全过程，未经招标人书面同意，施工中不得更换。</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4.1.2中标人不得转包，否则，招标人有权单方面终止合同，并令中标人立即退场，工程项目另行处理，由此而造成的经济损失由中标人负责赔偿。</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4.1.3中标人应积极协助招标人组织开工，确保工程顺利进行。</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4.1.4中标通知书、招标文件、招标答疑和投标文件是招标人与中标人双方签订施工合同的依据，中标人在签订施工合同时，对上述文件有异议，不愿意遵照执行，则招标人有权取消中标人的中标资格。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4.1.5中标人在施工期间应严格遵守国家、省、市有关防火、爆破和施工安全以及文明施工、深夜施工、环卫和城管等规定，建立规章制度和防护措施并严格执行。由于自身措施不力造成的事故责任、法律责任和经济责任，均由中标人负责。</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4.1.6中标人应按安全施工的要求，采取严格科学的安全措施，确保施工安全和第三者的安全，承担由于自身安全措施不力所造成的事故责任、法律责任和经济责任。</w:t>
      </w:r>
    </w:p>
    <w:p>
      <w:pPr>
        <w:rPr>
          <w:rFonts w:ascii="宋体" w:hAnsi="宋体"/>
          <w:color w:val="auto"/>
        </w:rPr>
      </w:pPr>
      <w:bookmarkStart w:id="1302" w:name="_Toc22057"/>
    </w:p>
    <w:p>
      <w:pPr>
        <w:pStyle w:val="2"/>
        <w:rPr>
          <w:rFonts w:ascii="宋体" w:hAnsi="宋体"/>
          <w:color w:val="auto"/>
        </w:rPr>
      </w:pPr>
      <w:r>
        <w:rPr>
          <w:rFonts w:ascii="宋体" w:hAnsi="宋体"/>
          <w:color w:val="auto"/>
        </w:rPr>
        <w:br w:type="page"/>
      </w:r>
    </w:p>
    <w:p>
      <w:pPr>
        <w:pStyle w:val="3"/>
        <w:rPr>
          <w:color w:val="auto"/>
        </w:rPr>
      </w:pPr>
      <w:bookmarkStart w:id="1303" w:name="_Toc124612991"/>
      <w:r>
        <w:rPr>
          <w:rFonts w:hint="eastAsia"/>
          <w:color w:val="auto"/>
        </w:rPr>
        <w:t>第五章 合同格式及主要条款</w:t>
      </w:r>
      <w:bookmarkEnd w:id="1292"/>
      <w:bookmarkEnd w:id="1302"/>
      <w:bookmarkEnd w:id="1303"/>
    </w:p>
    <w:p>
      <w:pPr>
        <w:pStyle w:val="4"/>
        <w:ind w:firstLine="482"/>
        <w:jc w:val="center"/>
        <w:rPr>
          <w:color w:val="auto"/>
        </w:rPr>
      </w:pPr>
      <w:r>
        <w:rPr>
          <w:color w:val="auto"/>
        </w:rPr>
        <w:br w:type="page"/>
      </w:r>
      <w:r>
        <w:rPr>
          <w:rFonts w:hint="eastAsia"/>
          <w:b w:val="0"/>
          <w:color w:val="auto"/>
          <w:sz w:val="28"/>
        </w:rPr>
        <w:t xml:space="preserve"> </w:t>
      </w:r>
      <w:bookmarkStart w:id="1304" w:name="_Toc8826"/>
      <w:bookmarkStart w:id="1305" w:name="_Toc11461"/>
      <w:bookmarkStart w:id="1306" w:name="_Toc25813"/>
      <w:bookmarkStart w:id="1307" w:name="_Toc4838"/>
      <w:bookmarkStart w:id="1308" w:name="_Toc15207"/>
      <w:bookmarkStart w:id="1309" w:name="_Toc4078384"/>
      <w:bookmarkStart w:id="1310" w:name="_Toc124612992"/>
      <w:bookmarkStart w:id="1311" w:name="_Toc29326"/>
      <w:bookmarkStart w:id="1312" w:name="_Toc32091"/>
      <w:r>
        <w:rPr>
          <w:color w:val="auto"/>
        </w:rPr>
        <w:t>第一部分 合同协议书</w:t>
      </w:r>
      <w:bookmarkEnd w:id="1304"/>
      <w:bookmarkEnd w:id="1305"/>
      <w:bookmarkEnd w:id="1306"/>
      <w:bookmarkEnd w:id="1307"/>
      <w:bookmarkEnd w:id="1308"/>
      <w:bookmarkEnd w:id="1309"/>
      <w:bookmarkEnd w:id="1310"/>
      <w:bookmarkEnd w:id="1311"/>
      <w:bookmarkEnd w:id="1312"/>
    </w:p>
    <w:p>
      <w:pPr>
        <w:pStyle w:val="128"/>
        <w:spacing w:line="360" w:lineRule="auto"/>
        <w:rPr>
          <w:rFonts w:ascii="宋体" w:hAnsi="宋体"/>
          <w:b/>
          <w:color w:val="auto"/>
          <w:szCs w:val="21"/>
          <w:u w:val="single"/>
        </w:rPr>
      </w:pPr>
      <w:r>
        <w:rPr>
          <w:rFonts w:ascii="宋体" w:hAnsi="宋体"/>
          <w:b/>
          <w:color w:val="auto"/>
          <w:szCs w:val="21"/>
        </w:rPr>
        <w:t>发包人（全称）：</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p>
    <w:p>
      <w:pPr>
        <w:pStyle w:val="128"/>
        <w:spacing w:line="360" w:lineRule="auto"/>
        <w:rPr>
          <w:rFonts w:ascii="宋体" w:hAnsi="宋体"/>
          <w:b/>
          <w:color w:val="auto"/>
          <w:szCs w:val="21"/>
          <w:u w:val="single"/>
        </w:rPr>
      </w:pPr>
      <w:r>
        <w:rPr>
          <w:rFonts w:ascii="宋体" w:hAnsi="宋体"/>
          <w:b/>
          <w:color w:val="auto"/>
          <w:szCs w:val="21"/>
        </w:rPr>
        <w:t>承包人（全称）：</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p>
    <w:p>
      <w:pPr>
        <w:pStyle w:val="128"/>
        <w:spacing w:line="360" w:lineRule="auto"/>
        <w:ind w:firstLine="420" w:firstLineChars="200"/>
        <w:rPr>
          <w:rFonts w:ascii="宋体" w:hAnsi="宋体"/>
          <w:color w:val="auto"/>
          <w:szCs w:val="21"/>
        </w:rPr>
      </w:pPr>
      <w:r>
        <w:rPr>
          <w:rFonts w:ascii="宋体" w:hAnsi="宋体"/>
          <w:color w:val="auto"/>
          <w:szCs w:val="21"/>
        </w:rPr>
        <w:t>根据《中华人民共和国民法典》、《中华人民共和国建筑法》及有关法律规定，遵循平等、自愿、公平和诚实信用的原则，双方就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w:t>
      </w:r>
      <w:r>
        <w:rPr>
          <w:rFonts w:hint="eastAsia" w:ascii="宋体" w:hAnsi="宋体"/>
          <w:color w:val="auto"/>
          <w:szCs w:val="21"/>
        </w:rPr>
        <w:t>，</w:t>
      </w:r>
      <w:r>
        <w:rPr>
          <w:rFonts w:ascii="宋体" w:hAnsi="宋体"/>
          <w:color w:val="auto"/>
          <w:szCs w:val="21"/>
        </w:rPr>
        <w:t>共同达成如下协议：</w:t>
      </w:r>
    </w:p>
    <w:p>
      <w:pPr>
        <w:pStyle w:val="133"/>
        <w:spacing w:before="120" w:after="120" w:line="360" w:lineRule="auto"/>
        <w:outlineLvl w:val="2"/>
        <w:rPr>
          <w:rFonts w:ascii="宋体" w:hAnsi="宋体"/>
          <w:bCs w:val="0"/>
          <w:color w:val="auto"/>
          <w:sz w:val="21"/>
          <w:szCs w:val="21"/>
        </w:rPr>
      </w:pPr>
      <w:bookmarkStart w:id="1313" w:name="_Toc4078385"/>
      <w:bookmarkStart w:id="1314" w:name="_Toc11017"/>
      <w:bookmarkStart w:id="1315" w:name="_Toc15205"/>
      <w:bookmarkStart w:id="1316" w:name="_Toc124612993"/>
      <w:bookmarkStart w:id="1317" w:name="_Toc12186"/>
      <w:bookmarkStart w:id="1318" w:name="_Toc23807"/>
      <w:bookmarkStart w:id="1319" w:name="_Toc4720"/>
      <w:bookmarkStart w:id="1320" w:name="_Toc25142"/>
      <w:bookmarkStart w:id="1321" w:name="_Toc5478"/>
      <w:r>
        <w:rPr>
          <w:rFonts w:ascii="宋体" w:hAnsi="宋体"/>
          <w:b w:val="0"/>
          <w:color w:val="auto"/>
          <w:sz w:val="21"/>
          <w:szCs w:val="21"/>
        </w:rPr>
        <w:t>一、工程概况</w:t>
      </w:r>
      <w:bookmarkEnd w:id="1313"/>
      <w:bookmarkEnd w:id="1314"/>
      <w:bookmarkEnd w:id="1315"/>
      <w:bookmarkEnd w:id="1316"/>
      <w:bookmarkEnd w:id="1317"/>
      <w:bookmarkEnd w:id="1318"/>
      <w:bookmarkEnd w:id="1319"/>
      <w:bookmarkEnd w:id="1320"/>
      <w:bookmarkEnd w:id="1321"/>
    </w:p>
    <w:p>
      <w:pPr>
        <w:pStyle w:val="128"/>
        <w:spacing w:line="360" w:lineRule="auto"/>
        <w:ind w:firstLine="411" w:firstLineChars="196"/>
        <w:rPr>
          <w:rFonts w:ascii="宋体" w:hAnsi="宋体"/>
          <w:color w:val="auto"/>
          <w:szCs w:val="21"/>
          <w:u w:val="single"/>
        </w:rPr>
      </w:pPr>
      <w:r>
        <w:rPr>
          <w:rFonts w:ascii="宋体" w:hAnsi="宋体"/>
          <w:bCs/>
          <w:color w:val="auto"/>
          <w:szCs w:val="21"/>
        </w:rPr>
        <w:t>1.工程名称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8"/>
        <w:spacing w:line="360" w:lineRule="auto"/>
        <w:ind w:firstLine="411" w:firstLineChars="196"/>
        <w:rPr>
          <w:rFonts w:ascii="宋体" w:hAnsi="宋体"/>
          <w:bCs/>
          <w:color w:val="auto"/>
          <w:szCs w:val="21"/>
        </w:rPr>
      </w:pPr>
      <w:r>
        <w:rPr>
          <w:rFonts w:ascii="宋体" w:hAnsi="宋体"/>
          <w:bCs/>
          <w:color w:val="auto"/>
          <w:szCs w:val="21"/>
        </w:rPr>
        <w:t>2.工程地点：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8"/>
        <w:spacing w:line="360" w:lineRule="auto"/>
        <w:ind w:firstLine="411" w:firstLineChars="196"/>
        <w:rPr>
          <w:rFonts w:ascii="宋体" w:hAnsi="宋体"/>
          <w:bCs/>
          <w:color w:val="auto"/>
          <w:szCs w:val="21"/>
        </w:rPr>
      </w:pPr>
      <w:r>
        <w:rPr>
          <w:rFonts w:ascii="宋体" w:hAnsi="宋体"/>
          <w:bCs/>
          <w:color w:val="auto"/>
          <w:szCs w:val="21"/>
        </w:rPr>
        <w:t>3.工程立项批准文号：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bCs/>
          <w:color w:val="auto"/>
          <w:szCs w:val="21"/>
        </w:rPr>
        <w:t>。</w:t>
      </w:r>
    </w:p>
    <w:p>
      <w:pPr>
        <w:pStyle w:val="128"/>
        <w:spacing w:line="360" w:lineRule="auto"/>
        <w:ind w:firstLine="411" w:firstLineChars="196"/>
        <w:rPr>
          <w:rFonts w:ascii="宋体" w:hAnsi="宋体"/>
          <w:bCs/>
          <w:color w:val="auto"/>
          <w:szCs w:val="21"/>
        </w:rPr>
      </w:pPr>
      <w:r>
        <w:rPr>
          <w:rFonts w:ascii="宋体" w:hAnsi="宋体"/>
          <w:bCs/>
          <w:color w:val="auto"/>
          <w:szCs w:val="21"/>
        </w:rPr>
        <w:t>4.资金来源：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bCs/>
          <w:color w:val="auto"/>
          <w:szCs w:val="21"/>
        </w:rPr>
        <w:t>。</w:t>
      </w:r>
    </w:p>
    <w:p>
      <w:pPr>
        <w:pStyle w:val="128"/>
        <w:spacing w:line="360" w:lineRule="auto"/>
        <w:ind w:firstLine="411" w:firstLineChars="196"/>
        <w:rPr>
          <w:rFonts w:ascii="宋体" w:hAnsi="宋体"/>
          <w:bCs/>
          <w:color w:val="auto"/>
          <w:szCs w:val="21"/>
        </w:rPr>
      </w:pPr>
      <w:r>
        <w:rPr>
          <w:rFonts w:hint="eastAsia" w:ascii="宋体" w:hAnsi="宋体"/>
          <w:bCs/>
          <w:color w:val="auto"/>
          <w:szCs w:val="21"/>
        </w:rPr>
        <w:t>5.工程内容：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bCs/>
          <w:color w:val="auto"/>
          <w:szCs w:val="21"/>
        </w:rPr>
        <w:t>。</w:t>
      </w:r>
    </w:p>
    <w:p>
      <w:pPr>
        <w:pStyle w:val="128"/>
        <w:spacing w:line="360" w:lineRule="auto"/>
        <w:ind w:firstLine="411" w:firstLineChars="196"/>
        <w:rPr>
          <w:rFonts w:ascii="宋体" w:hAnsi="宋体"/>
          <w:bCs/>
          <w:color w:val="auto"/>
          <w:szCs w:val="21"/>
        </w:rPr>
      </w:pPr>
      <w:r>
        <w:rPr>
          <w:rFonts w:hint="eastAsia" w:ascii="宋体" w:hAnsi="宋体"/>
          <w:color w:val="auto"/>
          <w:szCs w:val="21"/>
        </w:rPr>
        <w:t>群体工程应附《</w:t>
      </w:r>
      <w:r>
        <w:rPr>
          <w:rFonts w:ascii="宋体" w:hAnsi="宋体"/>
          <w:color w:val="auto"/>
          <w:szCs w:val="21"/>
        </w:rPr>
        <w:t>承包人承揽工程项目一览表</w:t>
      </w:r>
      <w:r>
        <w:rPr>
          <w:rFonts w:hint="eastAsia" w:ascii="宋体" w:hAnsi="宋体"/>
          <w:color w:val="auto"/>
          <w:szCs w:val="21"/>
        </w:rPr>
        <w:t>》（附件1）。</w:t>
      </w:r>
    </w:p>
    <w:p>
      <w:pPr>
        <w:pStyle w:val="128"/>
        <w:spacing w:line="360" w:lineRule="auto"/>
        <w:ind w:firstLine="411" w:firstLineChars="196"/>
        <w:rPr>
          <w:rFonts w:ascii="宋体" w:hAnsi="宋体"/>
          <w:bCs/>
          <w:color w:val="auto"/>
          <w:szCs w:val="21"/>
        </w:rPr>
      </w:pPr>
      <w:r>
        <w:rPr>
          <w:rFonts w:hint="eastAsia" w:ascii="宋体" w:hAnsi="宋体"/>
          <w:bCs/>
          <w:color w:val="auto"/>
          <w:szCs w:val="21"/>
        </w:rPr>
        <w:t>6</w:t>
      </w:r>
      <w:r>
        <w:rPr>
          <w:rFonts w:ascii="宋体" w:hAnsi="宋体"/>
          <w:bCs/>
          <w:color w:val="auto"/>
          <w:szCs w:val="21"/>
        </w:rPr>
        <w:t>.工程承包范围：</w:t>
      </w:r>
    </w:p>
    <w:p>
      <w:pPr>
        <w:pStyle w:val="128"/>
        <w:spacing w:line="360" w:lineRule="auto"/>
        <w:ind w:firstLine="405" w:firstLineChars="193"/>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28"/>
        <w:spacing w:line="360" w:lineRule="auto"/>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3"/>
        <w:spacing w:before="120" w:after="120" w:line="360" w:lineRule="auto"/>
        <w:outlineLvl w:val="2"/>
        <w:rPr>
          <w:rFonts w:ascii="宋体" w:hAnsi="宋体"/>
          <w:b w:val="0"/>
          <w:color w:val="auto"/>
          <w:sz w:val="21"/>
          <w:szCs w:val="21"/>
        </w:rPr>
      </w:pPr>
      <w:bookmarkStart w:id="1322" w:name="_Toc3515"/>
      <w:bookmarkStart w:id="1323" w:name="_Toc20077"/>
      <w:bookmarkStart w:id="1324" w:name="_Toc13968"/>
      <w:bookmarkStart w:id="1325" w:name="_Toc20151"/>
      <w:bookmarkStart w:id="1326" w:name="_Toc21767"/>
      <w:bookmarkStart w:id="1327" w:name="_Toc28573"/>
      <w:bookmarkStart w:id="1328" w:name="_Toc4078386"/>
      <w:bookmarkStart w:id="1329" w:name="_Toc17431"/>
      <w:bookmarkStart w:id="1330" w:name="_Toc124612994"/>
      <w:r>
        <w:rPr>
          <w:rFonts w:ascii="宋体" w:hAnsi="宋体"/>
          <w:b w:val="0"/>
          <w:color w:val="auto"/>
          <w:sz w:val="21"/>
          <w:szCs w:val="21"/>
        </w:rPr>
        <w:t>二、合同工期</w:t>
      </w:r>
      <w:bookmarkEnd w:id="1322"/>
      <w:bookmarkEnd w:id="1323"/>
      <w:bookmarkEnd w:id="1324"/>
      <w:bookmarkEnd w:id="1325"/>
      <w:bookmarkEnd w:id="1326"/>
      <w:bookmarkEnd w:id="1327"/>
      <w:bookmarkEnd w:id="1328"/>
      <w:bookmarkEnd w:id="1329"/>
      <w:bookmarkEnd w:id="1330"/>
    </w:p>
    <w:p>
      <w:pPr>
        <w:pStyle w:val="128"/>
        <w:spacing w:line="360" w:lineRule="auto"/>
        <w:ind w:firstLine="459"/>
        <w:rPr>
          <w:rFonts w:ascii="宋体" w:hAnsi="宋体"/>
          <w:color w:val="auto"/>
          <w:szCs w:val="21"/>
        </w:rPr>
      </w:pPr>
      <w:r>
        <w:rPr>
          <w:rFonts w:ascii="宋体" w:hAnsi="宋体"/>
          <w:color w:val="auto"/>
          <w:szCs w:val="21"/>
        </w:rPr>
        <w:t>计划开工日期：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pStyle w:val="128"/>
        <w:spacing w:line="360" w:lineRule="auto"/>
        <w:ind w:firstLine="459"/>
        <w:rPr>
          <w:rFonts w:ascii="宋体" w:hAnsi="宋体"/>
          <w:color w:val="auto"/>
          <w:szCs w:val="21"/>
        </w:rPr>
      </w:pPr>
      <w:r>
        <w:rPr>
          <w:rFonts w:ascii="宋体" w:hAnsi="宋体"/>
          <w:color w:val="auto"/>
          <w:szCs w:val="21"/>
        </w:rPr>
        <w:t>计划竣工日期：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pStyle w:val="128"/>
        <w:spacing w:line="360" w:lineRule="auto"/>
        <w:ind w:firstLine="459"/>
        <w:rPr>
          <w:rFonts w:ascii="宋体" w:hAnsi="宋体"/>
          <w:color w:val="auto"/>
          <w:szCs w:val="21"/>
        </w:rPr>
      </w:pPr>
      <w:r>
        <w:rPr>
          <w:rFonts w:ascii="宋体" w:hAnsi="宋体"/>
          <w:color w:val="auto"/>
          <w:szCs w:val="21"/>
        </w:rPr>
        <w:t>工期总日历天数：</w:t>
      </w:r>
      <w:r>
        <w:rPr>
          <w:rFonts w:ascii="宋体" w:hAnsi="宋体"/>
          <w:color w:val="auto"/>
          <w:szCs w:val="21"/>
          <w:u w:val="single"/>
        </w:rPr>
        <w:t xml:space="preserve">               </w:t>
      </w:r>
      <w:r>
        <w:rPr>
          <w:rFonts w:ascii="宋体" w:hAnsi="宋体"/>
          <w:color w:val="auto"/>
          <w:szCs w:val="21"/>
        </w:rPr>
        <w:t>天。工期总日历天数与根据前述计划开竣工日期计算的工期天数不一致的，以工期总日历天数为准。</w:t>
      </w:r>
    </w:p>
    <w:p>
      <w:pPr>
        <w:pStyle w:val="133"/>
        <w:spacing w:before="120" w:after="120" w:line="360" w:lineRule="auto"/>
        <w:outlineLvl w:val="2"/>
        <w:rPr>
          <w:rFonts w:ascii="宋体" w:hAnsi="宋体"/>
          <w:bCs w:val="0"/>
          <w:color w:val="auto"/>
          <w:sz w:val="21"/>
          <w:szCs w:val="21"/>
        </w:rPr>
      </w:pPr>
      <w:bookmarkStart w:id="1331" w:name="_Toc25150"/>
      <w:bookmarkStart w:id="1332" w:name="_Toc124612995"/>
      <w:bookmarkStart w:id="1333" w:name="_Toc27914"/>
      <w:bookmarkStart w:id="1334" w:name="_Toc21536"/>
      <w:bookmarkStart w:id="1335" w:name="_Toc15960"/>
      <w:bookmarkStart w:id="1336" w:name="_Toc29268"/>
      <w:bookmarkStart w:id="1337" w:name="_Toc4078387"/>
      <w:bookmarkStart w:id="1338" w:name="_Toc4897"/>
      <w:bookmarkStart w:id="1339" w:name="_Toc27316"/>
      <w:r>
        <w:rPr>
          <w:rFonts w:ascii="宋体" w:hAnsi="宋体"/>
          <w:b w:val="0"/>
          <w:color w:val="auto"/>
          <w:sz w:val="21"/>
          <w:szCs w:val="21"/>
        </w:rPr>
        <w:t>三、质量标准</w:t>
      </w:r>
      <w:bookmarkEnd w:id="1331"/>
      <w:bookmarkEnd w:id="1332"/>
      <w:bookmarkEnd w:id="1333"/>
      <w:bookmarkEnd w:id="1334"/>
      <w:bookmarkEnd w:id="1335"/>
      <w:bookmarkEnd w:id="1336"/>
      <w:bookmarkEnd w:id="1337"/>
      <w:bookmarkEnd w:id="1338"/>
      <w:bookmarkEnd w:id="1339"/>
    </w:p>
    <w:p>
      <w:pPr>
        <w:pStyle w:val="128"/>
        <w:spacing w:line="360" w:lineRule="auto"/>
        <w:ind w:firstLine="459"/>
        <w:rPr>
          <w:rFonts w:ascii="宋体" w:hAnsi="宋体"/>
          <w:color w:val="auto"/>
          <w:szCs w:val="21"/>
        </w:rPr>
      </w:pPr>
      <w:r>
        <w:rPr>
          <w:rFonts w:ascii="宋体" w:hAnsi="宋体"/>
          <w:color w:val="auto"/>
          <w:szCs w:val="21"/>
        </w:rPr>
        <w:t>工程质量符合</w:t>
      </w:r>
      <w:r>
        <w:rPr>
          <w:rFonts w:ascii="宋体" w:hAnsi="宋体"/>
          <w:color w:val="auto"/>
          <w:szCs w:val="21"/>
          <w:u w:val="single"/>
        </w:rPr>
        <w:t xml:space="preserve">                                                   </w:t>
      </w:r>
      <w:r>
        <w:rPr>
          <w:rFonts w:ascii="宋体" w:hAnsi="宋体"/>
          <w:color w:val="auto"/>
          <w:szCs w:val="21"/>
        </w:rPr>
        <w:t>标准。</w:t>
      </w:r>
    </w:p>
    <w:p>
      <w:pPr>
        <w:pStyle w:val="133"/>
        <w:spacing w:before="120" w:after="120" w:line="360" w:lineRule="auto"/>
        <w:outlineLvl w:val="2"/>
        <w:rPr>
          <w:rFonts w:ascii="宋体" w:hAnsi="宋体"/>
          <w:bCs w:val="0"/>
          <w:color w:val="auto"/>
          <w:sz w:val="21"/>
          <w:szCs w:val="21"/>
        </w:rPr>
      </w:pPr>
      <w:bookmarkStart w:id="1340" w:name="_Toc18143"/>
      <w:bookmarkStart w:id="1341" w:name="_Toc23035"/>
      <w:bookmarkStart w:id="1342" w:name="_Toc29637"/>
      <w:bookmarkStart w:id="1343" w:name="_Toc29071"/>
      <w:bookmarkStart w:id="1344" w:name="_Toc27647"/>
      <w:bookmarkStart w:id="1345" w:name="_Toc18574"/>
      <w:bookmarkStart w:id="1346" w:name="_Toc3306"/>
      <w:bookmarkStart w:id="1347" w:name="_Toc124612996"/>
      <w:bookmarkStart w:id="1348" w:name="_Toc4078388"/>
      <w:r>
        <w:rPr>
          <w:rFonts w:ascii="宋体" w:hAnsi="宋体"/>
          <w:b w:val="0"/>
          <w:color w:val="auto"/>
          <w:sz w:val="21"/>
          <w:szCs w:val="21"/>
        </w:rPr>
        <w:t>四、签约合同价与合同价格形式</w:t>
      </w:r>
      <w:bookmarkEnd w:id="1340"/>
      <w:bookmarkEnd w:id="1341"/>
      <w:bookmarkEnd w:id="1342"/>
      <w:bookmarkEnd w:id="1343"/>
      <w:bookmarkEnd w:id="1344"/>
      <w:bookmarkEnd w:id="1345"/>
      <w:bookmarkEnd w:id="1346"/>
      <w:bookmarkEnd w:id="1347"/>
      <w:bookmarkEnd w:id="1348"/>
      <w:r>
        <w:rPr>
          <w:rFonts w:ascii="宋体" w:hAnsi="宋体"/>
          <w:b w:val="0"/>
          <w:color w:val="auto"/>
          <w:sz w:val="21"/>
          <w:szCs w:val="21"/>
        </w:rPr>
        <w:tab/>
      </w:r>
    </w:p>
    <w:p>
      <w:pPr>
        <w:pStyle w:val="128"/>
        <w:spacing w:line="360" w:lineRule="auto"/>
        <w:ind w:firstLine="420" w:firstLineChars="200"/>
        <w:rPr>
          <w:rFonts w:ascii="宋体" w:hAnsi="宋体"/>
          <w:color w:val="auto"/>
          <w:szCs w:val="21"/>
        </w:rPr>
      </w:pPr>
      <w:r>
        <w:rPr>
          <w:rFonts w:ascii="宋体" w:hAnsi="宋体"/>
          <w:color w:val="auto"/>
          <w:szCs w:val="21"/>
        </w:rPr>
        <w:t>1.签约合同价为：</w:t>
      </w:r>
    </w:p>
    <w:p>
      <w:pPr>
        <w:pStyle w:val="128"/>
        <w:spacing w:line="360" w:lineRule="auto"/>
        <w:ind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pStyle w:val="128"/>
        <w:spacing w:line="360" w:lineRule="auto"/>
        <w:ind w:firstLine="420" w:firstLineChars="200"/>
        <w:rPr>
          <w:rFonts w:ascii="宋体" w:hAnsi="宋体"/>
          <w:color w:val="auto"/>
          <w:szCs w:val="21"/>
        </w:rPr>
      </w:pPr>
      <w:r>
        <w:rPr>
          <w:rFonts w:ascii="宋体" w:hAnsi="宋体"/>
          <w:color w:val="auto"/>
          <w:szCs w:val="21"/>
        </w:rPr>
        <w:t>其中：</w:t>
      </w:r>
    </w:p>
    <w:p>
      <w:pPr>
        <w:pStyle w:val="128"/>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绿色施工安全防护措施费</w:t>
      </w:r>
      <w:r>
        <w:rPr>
          <w:rFonts w:ascii="宋体" w:hAnsi="宋体"/>
          <w:color w:val="auto"/>
          <w:szCs w:val="21"/>
        </w:rPr>
        <w:t>：</w:t>
      </w:r>
    </w:p>
    <w:p>
      <w:pPr>
        <w:pStyle w:val="128"/>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pStyle w:val="128"/>
        <w:spacing w:line="360" w:lineRule="auto"/>
        <w:ind w:firstLine="420" w:firstLineChars="200"/>
        <w:rPr>
          <w:rFonts w:ascii="宋体" w:hAnsi="宋体"/>
          <w:color w:val="auto"/>
          <w:szCs w:val="21"/>
        </w:rPr>
      </w:pPr>
      <w:r>
        <w:rPr>
          <w:rFonts w:ascii="宋体" w:hAnsi="宋体"/>
          <w:color w:val="auto"/>
          <w:szCs w:val="21"/>
        </w:rPr>
        <w:t>（2）材料和工程设备暂估价金额：</w:t>
      </w:r>
    </w:p>
    <w:p>
      <w:pPr>
        <w:pStyle w:val="128"/>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pStyle w:val="128"/>
        <w:spacing w:line="360" w:lineRule="auto"/>
        <w:ind w:firstLine="420" w:firstLineChars="200"/>
        <w:rPr>
          <w:rFonts w:ascii="宋体" w:hAnsi="宋体"/>
          <w:color w:val="auto"/>
          <w:szCs w:val="21"/>
        </w:rPr>
      </w:pPr>
      <w:r>
        <w:rPr>
          <w:rFonts w:ascii="宋体" w:hAnsi="宋体"/>
          <w:color w:val="auto"/>
          <w:szCs w:val="21"/>
        </w:rPr>
        <w:t>（3）专业工程暂估价金额：</w:t>
      </w:r>
    </w:p>
    <w:p>
      <w:pPr>
        <w:pStyle w:val="128"/>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pStyle w:val="128"/>
        <w:spacing w:line="360" w:lineRule="auto"/>
        <w:ind w:firstLine="420" w:firstLineChars="200"/>
        <w:rPr>
          <w:rFonts w:ascii="宋体" w:hAnsi="宋体"/>
          <w:color w:val="auto"/>
          <w:szCs w:val="21"/>
        </w:rPr>
      </w:pPr>
      <w:r>
        <w:rPr>
          <w:rFonts w:ascii="宋体" w:hAnsi="宋体"/>
          <w:color w:val="auto"/>
          <w:szCs w:val="21"/>
        </w:rPr>
        <w:t>（4）暂列金额：</w:t>
      </w:r>
    </w:p>
    <w:p>
      <w:pPr>
        <w:pStyle w:val="128"/>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pStyle w:val="128"/>
        <w:spacing w:line="360" w:lineRule="auto"/>
        <w:ind w:firstLine="420" w:firstLineChars="200"/>
        <w:rPr>
          <w:rFonts w:ascii="宋体" w:hAnsi="宋体"/>
          <w:color w:val="auto"/>
          <w:szCs w:val="21"/>
        </w:rPr>
      </w:pPr>
      <w:r>
        <w:rPr>
          <w:rFonts w:ascii="宋体" w:hAnsi="宋体"/>
          <w:color w:val="auto"/>
          <w:szCs w:val="21"/>
        </w:rPr>
        <w:t>2.合同价格形式：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3"/>
        <w:spacing w:before="120" w:after="120" w:line="360" w:lineRule="auto"/>
        <w:outlineLvl w:val="2"/>
        <w:rPr>
          <w:rFonts w:ascii="宋体" w:hAnsi="宋体"/>
          <w:b w:val="0"/>
          <w:color w:val="auto"/>
          <w:sz w:val="21"/>
          <w:szCs w:val="21"/>
        </w:rPr>
      </w:pPr>
      <w:bookmarkStart w:id="1349" w:name="_Toc20161"/>
      <w:bookmarkStart w:id="1350" w:name="_Toc4055"/>
      <w:bookmarkStart w:id="1351" w:name="_Toc29847"/>
      <w:bookmarkStart w:id="1352" w:name="_Toc7592"/>
      <w:bookmarkStart w:id="1353" w:name="_Toc14849"/>
      <w:bookmarkStart w:id="1354" w:name="_Toc16777"/>
      <w:bookmarkStart w:id="1355" w:name="_Toc4078389"/>
      <w:bookmarkStart w:id="1356" w:name="_Toc124612997"/>
      <w:bookmarkStart w:id="1357" w:name="_Toc1266"/>
      <w:r>
        <w:rPr>
          <w:rFonts w:ascii="宋体" w:hAnsi="宋体"/>
          <w:b w:val="0"/>
          <w:color w:val="auto"/>
          <w:sz w:val="21"/>
          <w:szCs w:val="21"/>
        </w:rPr>
        <w:t>五、</w:t>
      </w:r>
      <w:bookmarkEnd w:id="1349"/>
      <w:bookmarkEnd w:id="1350"/>
      <w:bookmarkEnd w:id="1351"/>
      <w:bookmarkEnd w:id="1352"/>
      <w:bookmarkEnd w:id="1353"/>
      <w:bookmarkEnd w:id="1354"/>
      <w:bookmarkEnd w:id="1355"/>
      <w:r>
        <w:rPr>
          <w:rFonts w:hint="eastAsia" w:ascii="宋体" w:hAnsi="宋体"/>
          <w:b w:val="0"/>
          <w:color w:val="auto"/>
          <w:sz w:val="21"/>
          <w:szCs w:val="21"/>
        </w:rPr>
        <w:t>项目负责人</w:t>
      </w:r>
      <w:bookmarkEnd w:id="1356"/>
      <w:bookmarkEnd w:id="1357"/>
    </w:p>
    <w:p>
      <w:pPr>
        <w:pStyle w:val="128"/>
        <w:spacing w:line="360" w:lineRule="auto"/>
        <w:ind w:firstLine="420" w:firstLineChars="200"/>
        <w:rPr>
          <w:rFonts w:ascii="宋体" w:hAnsi="宋体"/>
          <w:color w:val="auto"/>
          <w:szCs w:val="21"/>
        </w:rPr>
      </w:pPr>
      <w:r>
        <w:rPr>
          <w:rFonts w:ascii="宋体" w:hAnsi="宋体"/>
          <w:color w:val="auto"/>
          <w:szCs w:val="21"/>
        </w:rPr>
        <w:t>承包人</w:t>
      </w:r>
      <w:r>
        <w:rPr>
          <w:rFonts w:hint="eastAsia" w:ascii="宋体" w:hAnsi="宋体"/>
          <w:color w:val="auto"/>
          <w:szCs w:val="21"/>
        </w:rPr>
        <w:t>项目负责人</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3"/>
        <w:spacing w:before="120" w:after="120" w:line="360" w:lineRule="auto"/>
        <w:outlineLvl w:val="2"/>
        <w:rPr>
          <w:rFonts w:ascii="宋体" w:hAnsi="宋体"/>
          <w:bCs w:val="0"/>
          <w:color w:val="auto"/>
          <w:sz w:val="21"/>
          <w:szCs w:val="21"/>
        </w:rPr>
      </w:pPr>
      <w:bookmarkStart w:id="1358" w:name="_Toc4578"/>
      <w:bookmarkStart w:id="1359" w:name="_Toc15086"/>
      <w:bookmarkStart w:id="1360" w:name="_Toc124612998"/>
      <w:bookmarkStart w:id="1361" w:name="_Toc8875"/>
      <w:bookmarkStart w:id="1362" w:name="_Toc24928"/>
      <w:bookmarkStart w:id="1363" w:name="_Toc30272"/>
      <w:bookmarkStart w:id="1364" w:name="_Toc4078390"/>
      <w:bookmarkStart w:id="1365" w:name="_Toc12252"/>
      <w:bookmarkStart w:id="1366" w:name="_Toc26430"/>
      <w:r>
        <w:rPr>
          <w:rFonts w:ascii="宋体" w:hAnsi="宋体"/>
          <w:b w:val="0"/>
          <w:color w:val="auto"/>
          <w:sz w:val="21"/>
          <w:szCs w:val="21"/>
        </w:rPr>
        <w:t>六、合同文件构成</w:t>
      </w:r>
      <w:bookmarkEnd w:id="1358"/>
      <w:bookmarkEnd w:id="1359"/>
      <w:bookmarkEnd w:id="1360"/>
      <w:bookmarkEnd w:id="1361"/>
      <w:bookmarkEnd w:id="1362"/>
      <w:bookmarkEnd w:id="1363"/>
      <w:bookmarkEnd w:id="1364"/>
      <w:bookmarkEnd w:id="1365"/>
      <w:bookmarkEnd w:id="1366"/>
    </w:p>
    <w:p>
      <w:pPr>
        <w:pStyle w:val="128"/>
        <w:spacing w:line="360" w:lineRule="auto"/>
        <w:ind w:firstLine="420" w:firstLineChars="200"/>
        <w:rPr>
          <w:rFonts w:ascii="宋体" w:hAnsi="宋体"/>
          <w:bCs/>
          <w:color w:val="auto"/>
          <w:szCs w:val="21"/>
        </w:rPr>
      </w:pPr>
      <w:r>
        <w:rPr>
          <w:rFonts w:ascii="宋体" w:hAnsi="宋体"/>
          <w:bCs/>
          <w:color w:val="auto"/>
          <w:szCs w:val="21"/>
        </w:rPr>
        <w:t>本协议书与下列文件一起构成合同文件：</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（1）中标通知书（如果有）；</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 xml:space="preserve">（2）投标函及其附录（如果有）； </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（3）专用合同条款及其附件；</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（4）通用合同条款；</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（5）技术标准和要求；</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（6）图纸；</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（7）已标价工程量清单或预算书；</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（8）其他合同文件。</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pStyle w:val="128"/>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w:t>
      </w:r>
      <w:r>
        <w:rPr>
          <w:rFonts w:hint="eastAsia" w:ascii="宋体" w:hAnsi="宋体"/>
          <w:color w:val="auto"/>
          <w:szCs w:val="21"/>
        </w:rPr>
        <w:t>专用合同条款及其附件须经合同当事人签字或盖章。</w:t>
      </w:r>
    </w:p>
    <w:p>
      <w:pPr>
        <w:pStyle w:val="133"/>
        <w:spacing w:before="120" w:after="120" w:line="360" w:lineRule="auto"/>
        <w:outlineLvl w:val="2"/>
        <w:rPr>
          <w:rFonts w:ascii="宋体" w:hAnsi="宋体"/>
          <w:b w:val="0"/>
          <w:bCs w:val="0"/>
          <w:color w:val="auto"/>
          <w:sz w:val="21"/>
          <w:szCs w:val="21"/>
        </w:rPr>
      </w:pPr>
      <w:bookmarkStart w:id="1367" w:name="_Toc124612999"/>
      <w:bookmarkStart w:id="1368" w:name="_Toc4078391"/>
      <w:bookmarkStart w:id="1369" w:name="_Toc228"/>
      <w:bookmarkStart w:id="1370" w:name="_Toc5807"/>
      <w:bookmarkStart w:id="1371" w:name="_Toc14886"/>
      <w:bookmarkStart w:id="1372" w:name="_Toc10964"/>
      <w:bookmarkStart w:id="1373" w:name="_Toc4506"/>
      <w:bookmarkStart w:id="1374" w:name="_Toc16200"/>
      <w:bookmarkStart w:id="1375" w:name="_Toc11435"/>
      <w:r>
        <w:rPr>
          <w:rFonts w:ascii="宋体" w:hAnsi="宋体"/>
          <w:b w:val="0"/>
          <w:color w:val="auto"/>
          <w:sz w:val="21"/>
          <w:szCs w:val="21"/>
        </w:rPr>
        <w:t>七、承诺</w:t>
      </w:r>
      <w:bookmarkEnd w:id="1367"/>
      <w:bookmarkEnd w:id="1368"/>
      <w:bookmarkEnd w:id="1369"/>
      <w:bookmarkEnd w:id="1370"/>
      <w:bookmarkEnd w:id="1371"/>
      <w:bookmarkEnd w:id="1372"/>
      <w:bookmarkEnd w:id="1373"/>
      <w:bookmarkEnd w:id="1374"/>
      <w:bookmarkEnd w:id="1375"/>
    </w:p>
    <w:p>
      <w:pPr>
        <w:pStyle w:val="128"/>
        <w:spacing w:line="360" w:lineRule="auto"/>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r>
        <w:rPr>
          <w:rFonts w:hint="eastAsia" w:ascii="宋体" w:hAnsi="宋体"/>
          <w:bCs/>
          <w:color w:val="auto"/>
          <w:szCs w:val="21"/>
        </w:rPr>
        <w:t>，政府投资工程项目禁止施工企业带资施工。</w:t>
      </w:r>
    </w:p>
    <w:p>
      <w:pPr>
        <w:pStyle w:val="128"/>
        <w:spacing w:line="360" w:lineRule="auto"/>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pPr>
        <w:pStyle w:val="128"/>
        <w:spacing w:line="360" w:lineRule="auto"/>
        <w:ind w:firstLine="420" w:firstLineChars="200"/>
        <w:rPr>
          <w:rFonts w:ascii="宋体" w:hAnsi="宋体"/>
          <w:bCs/>
          <w:color w:val="auto"/>
          <w:szCs w:val="21"/>
        </w:rPr>
      </w:pPr>
      <w:r>
        <w:rPr>
          <w:rFonts w:ascii="宋体" w:hAnsi="宋体"/>
          <w:bCs/>
          <w:color w:val="auto"/>
          <w:szCs w:val="21"/>
        </w:rPr>
        <w:t>3.发包人和承包人通过招投标形式签订合同的，双方理解并</w:t>
      </w:r>
      <w:r>
        <w:rPr>
          <w:rFonts w:hint="eastAsia" w:ascii="宋体" w:hAnsi="宋体"/>
          <w:bCs/>
          <w:color w:val="auto"/>
          <w:szCs w:val="21"/>
        </w:rPr>
        <w:t>承诺</w:t>
      </w:r>
      <w:r>
        <w:rPr>
          <w:rFonts w:ascii="宋体" w:hAnsi="宋体"/>
          <w:bCs/>
          <w:color w:val="auto"/>
          <w:szCs w:val="21"/>
        </w:rPr>
        <w:t>不再就同一工程另行签订与合同实质性内容相背离的协议。</w:t>
      </w:r>
    </w:p>
    <w:p>
      <w:pPr>
        <w:pStyle w:val="133"/>
        <w:spacing w:before="120" w:after="120" w:line="360" w:lineRule="auto"/>
        <w:outlineLvl w:val="2"/>
        <w:rPr>
          <w:rFonts w:ascii="宋体" w:hAnsi="宋体"/>
          <w:b w:val="0"/>
          <w:color w:val="auto"/>
          <w:sz w:val="21"/>
          <w:szCs w:val="21"/>
        </w:rPr>
      </w:pPr>
      <w:bookmarkStart w:id="1376" w:name="_Toc124613000"/>
      <w:bookmarkStart w:id="1377" w:name="_Toc2475"/>
      <w:bookmarkStart w:id="1378" w:name="_Toc32246"/>
      <w:bookmarkStart w:id="1379" w:name="_Toc11340"/>
      <w:bookmarkStart w:id="1380" w:name="_Toc28166"/>
      <w:bookmarkStart w:id="1381" w:name="_Toc4078392"/>
      <w:bookmarkStart w:id="1382" w:name="_Toc5132"/>
      <w:bookmarkStart w:id="1383" w:name="_Toc16910"/>
      <w:bookmarkStart w:id="1384" w:name="_Toc26056"/>
      <w:r>
        <w:rPr>
          <w:rFonts w:ascii="宋体" w:hAnsi="宋体"/>
          <w:b w:val="0"/>
          <w:color w:val="auto"/>
          <w:sz w:val="21"/>
          <w:szCs w:val="21"/>
        </w:rPr>
        <w:t>八、词语含义</w:t>
      </w:r>
      <w:bookmarkEnd w:id="1376"/>
      <w:bookmarkEnd w:id="1377"/>
      <w:bookmarkEnd w:id="1378"/>
      <w:bookmarkEnd w:id="1379"/>
      <w:bookmarkEnd w:id="1380"/>
      <w:bookmarkEnd w:id="1381"/>
      <w:bookmarkEnd w:id="1382"/>
      <w:bookmarkEnd w:id="1383"/>
      <w:bookmarkEnd w:id="1384"/>
    </w:p>
    <w:p>
      <w:pPr>
        <w:pStyle w:val="128"/>
        <w:spacing w:line="360" w:lineRule="auto"/>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pPr>
        <w:pStyle w:val="133"/>
        <w:spacing w:before="120" w:after="120" w:line="360" w:lineRule="auto"/>
        <w:outlineLvl w:val="2"/>
        <w:rPr>
          <w:rFonts w:ascii="宋体" w:hAnsi="宋体"/>
          <w:bCs w:val="0"/>
          <w:color w:val="auto"/>
          <w:sz w:val="21"/>
          <w:szCs w:val="21"/>
        </w:rPr>
      </w:pPr>
      <w:bookmarkStart w:id="1385" w:name="_Toc22603"/>
      <w:bookmarkStart w:id="1386" w:name="_Toc7158"/>
      <w:bookmarkStart w:id="1387" w:name="_Toc10560"/>
      <w:bookmarkStart w:id="1388" w:name="_Toc22306"/>
      <w:bookmarkStart w:id="1389" w:name="_Toc124613001"/>
      <w:bookmarkStart w:id="1390" w:name="_Toc4078393"/>
      <w:bookmarkStart w:id="1391" w:name="_Toc23009"/>
      <w:bookmarkStart w:id="1392" w:name="_Toc15176"/>
      <w:bookmarkStart w:id="1393" w:name="_Toc9575"/>
      <w:r>
        <w:rPr>
          <w:rFonts w:ascii="宋体" w:hAnsi="宋体"/>
          <w:b w:val="0"/>
          <w:color w:val="auto"/>
          <w:sz w:val="21"/>
          <w:szCs w:val="21"/>
        </w:rPr>
        <w:t>九、签订时间</w:t>
      </w:r>
      <w:bookmarkEnd w:id="1385"/>
      <w:bookmarkEnd w:id="1386"/>
      <w:bookmarkEnd w:id="1387"/>
      <w:bookmarkEnd w:id="1388"/>
      <w:bookmarkEnd w:id="1389"/>
      <w:bookmarkEnd w:id="1390"/>
      <w:bookmarkEnd w:id="1391"/>
      <w:bookmarkEnd w:id="1392"/>
      <w:bookmarkEnd w:id="1393"/>
    </w:p>
    <w:p>
      <w:pPr>
        <w:pStyle w:val="128"/>
        <w:spacing w:line="360" w:lineRule="auto"/>
        <w:ind w:firstLine="420" w:firstLineChars="200"/>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pPr>
        <w:pStyle w:val="133"/>
        <w:spacing w:before="120" w:after="120" w:line="360" w:lineRule="auto"/>
        <w:outlineLvl w:val="2"/>
        <w:rPr>
          <w:rFonts w:ascii="宋体" w:hAnsi="宋体"/>
          <w:bCs w:val="0"/>
          <w:color w:val="auto"/>
          <w:sz w:val="21"/>
          <w:szCs w:val="21"/>
        </w:rPr>
      </w:pPr>
      <w:bookmarkStart w:id="1394" w:name="_Toc9202"/>
      <w:bookmarkStart w:id="1395" w:name="_Toc12403"/>
      <w:bookmarkStart w:id="1396" w:name="_Toc9859"/>
      <w:bookmarkStart w:id="1397" w:name="_Toc21486"/>
      <w:bookmarkStart w:id="1398" w:name="_Toc4038"/>
      <w:bookmarkStart w:id="1399" w:name="_Toc124613002"/>
      <w:bookmarkStart w:id="1400" w:name="_Toc16590"/>
      <w:bookmarkStart w:id="1401" w:name="_Toc32146"/>
      <w:bookmarkStart w:id="1402" w:name="_Toc4078394"/>
      <w:r>
        <w:rPr>
          <w:rFonts w:ascii="宋体" w:hAnsi="宋体"/>
          <w:b w:val="0"/>
          <w:color w:val="auto"/>
          <w:sz w:val="21"/>
          <w:szCs w:val="21"/>
        </w:rPr>
        <w:t>十、签订地点</w:t>
      </w:r>
      <w:bookmarkEnd w:id="1394"/>
      <w:bookmarkEnd w:id="1395"/>
      <w:bookmarkEnd w:id="1396"/>
      <w:bookmarkEnd w:id="1397"/>
      <w:bookmarkEnd w:id="1398"/>
      <w:bookmarkEnd w:id="1399"/>
      <w:bookmarkEnd w:id="1400"/>
      <w:bookmarkEnd w:id="1401"/>
      <w:bookmarkEnd w:id="1402"/>
    </w:p>
    <w:p>
      <w:pPr>
        <w:pStyle w:val="128"/>
        <w:spacing w:line="360" w:lineRule="auto"/>
        <w:ind w:firstLine="420" w:firstLineChars="200"/>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pPr>
        <w:pStyle w:val="133"/>
        <w:spacing w:before="120" w:after="120" w:line="360" w:lineRule="auto"/>
        <w:outlineLvl w:val="2"/>
        <w:rPr>
          <w:rFonts w:ascii="宋体" w:hAnsi="宋体"/>
          <w:bCs w:val="0"/>
          <w:color w:val="auto"/>
          <w:sz w:val="21"/>
          <w:szCs w:val="21"/>
        </w:rPr>
      </w:pPr>
      <w:bookmarkStart w:id="1403" w:name="_Toc4078395"/>
      <w:bookmarkStart w:id="1404" w:name="_Toc2492"/>
      <w:bookmarkStart w:id="1405" w:name="_Toc4342"/>
      <w:bookmarkStart w:id="1406" w:name="_Toc124613003"/>
      <w:bookmarkStart w:id="1407" w:name="_Toc27803"/>
      <w:bookmarkStart w:id="1408" w:name="_Toc25540"/>
      <w:bookmarkStart w:id="1409" w:name="_Toc11439"/>
      <w:bookmarkStart w:id="1410" w:name="_Toc6525"/>
      <w:bookmarkStart w:id="1411" w:name="_Toc13850"/>
      <w:r>
        <w:rPr>
          <w:rFonts w:ascii="宋体" w:hAnsi="宋体"/>
          <w:b w:val="0"/>
          <w:color w:val="auto"/>
          <w:sz w:val="21"/>
          <w:szCs w:val="21"/>
        </w:rPr>
        <w:t>十一、补充协议</w:t>
      </w:r>
      <w:bookmarkEnd w:id="1403"/>
      <w:bookmarkEnd w:id="1404"/>
      <w:bookmarkEnd w:id="1405"/>
      <w:bookmarkEnd w:id="1406"/>
      <w:bookmarkEnd w:id="1407"/>
      <w:bookmarkEnd w:id="1408"/>
      <w:bookmarkEnd w:id="1409"/>
      <w:bookmarkEnd w:id="1410"/>
      <w:bookmarkEnd w:id="1411"/>
    </w:p>
    <w:p>
      <w:pPr>
        <w:pStyle w:val="128"/>
        <w:spacing w:line="360" w:lineRule="auto"/>
        <w:ind w:firstLine="420" w:firstLineChars="200"/>
        <w:rPr>
          <w:rFonts w:ascii="宋体" w:hAnsi="宋体"/>
          <w:b/>
          <w:bCs/>
          <w:color w:val="auto"/>
          <w:szCs w:val="21"/>
        </w:rPr>
      </w:pPr>
      <w:r>
        <w:rPr>
          <w:rFonts w:ascii="宋体" w:hAnsi="宋体"/>
          <w:bCs/>
          <w:color w:val="auto"/>
          <w:szCs w:val="21"/>
        </w:rPr>
        <w:t>合同未尽事宜，合同当事人另行签订补充协议</w:t>
      </w:r>
      <w:r>
        <w:rPr>
          <w:rFonts w:hint="eastAsia" w:ascii="宋体" w:hAnsi="宋体"/>
          <w:bCs/>
          <w:color w:val="auto"/>
          <w:szCs w:val="21"/>
        </w:rPr>
        <w:t>，</w:t>
      </w:r>
      <w:r>
        <w:rPr>
          <w:rFonts w:ascii="宋体" w:hAnsi="宋体"/>
          <w:bCs/>
          <w:color w:val="auto"/>
          <w:szCs w:val="21"/>
        </w:rPr>
        <w:t>补充协议是合同的组成部分。</w:t>
      </w:r>
    </w:p>
    <w:p>
      <w:pPr>
        <w:pStyle w:val="133"/>
        <w:spacing w:before="120" w:after="120" w:line="360" w:lineRule="auto"/>
        <w:outlineLvl w:val="2"/>
        <w:rPr>
          <w:rFonts w:ascii="宋体" w:hAnsi="宋体"/>
          <w:bCs w:val="0"/>
          <w:color w:val="auto"/>
          <w:sz w:val="21"/>
          <w:szCs w:val="21"/>
        </w:rPr>
      </w:pPr>
      <w:bookmarkStart w:id="1412" w:name="_Toc17479"/>
      <w:bookmarkStart w:id="1413" w:name="_Toc6540"/>
      <w:bookmarkStart w:id="1414" w:name="_Toc124613004"/>
      <w:bookmarkStart w:id="1415" w:name="_Toc26828"/>
      <w:bookmarkStart w:id="1416" w:name="_Toc5108"/>
      <w:bookmarkStart w:id="1417" w:name="_Toc20834"/>
      <w:bookmarkStart w:id="1418" w:name="_Toc22640"/>
      <w:bookmarkStart w:id="1419" w:name="_Toc30746"/>
      <w:bookmarkStart w:id="1420" w:name="_Toc4078396"/>
      <w:r>
        <w:rPr>
          <w:rFonts w:ascii="宋体" w:hAnsi="宋体"/>
          <w:b w:val="0"/>
          <w:color w:val="auto"/>
          <w:sz w:val="21"/>
          <w:szCs w:val="21"/>
        </w:rPr>
        <w:t>十二、合同生效</w:t>
      </w:r>
      <w:bookmarkEnd w:id="1412"/>
      <w:bookmarkEnd w:id="1413"/>
      <w:bookmarkEnd w:id="1414"/>
      <w:bookmarkEnd w:id="1415"/>
      <w:bookmarkEnd w:id="1416"/>
      <w:bookmarkEnd w:id="1417"/>
      <w:bookmarkEnd w:id="1418"/>
      <w:bookmarkEnd w:id="1419"/>
      <w:bookmarkEnd w:id="1420"/>
    </w:p>
    <w:p>
      <w:pPr>
        <w:pStyle w:val="128"/>
        <w:spacing w:line="360" w:lineRule="auto"/>
        <w:ind w:firstLine="420" w:firstLineChars="200"/>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pPr>
        <w:pStyle w:val="133"/>
        <w:spacing w:before="120" w:after="120" w:line="360" w:lineRule="auto"/>
        <w:outlineLvl w:val="2"/>
        <w:rPr>
          <w:rFonts w:ascii="宋体" w:hAnsi="宋体"/>
          <w:bCs w:val="0"/>
          <w:color w:val="auto"/>
          <w:sz w:val="21"/>
          <w:szCs w:val="21"/>
        </w:rPr>
      </w:pPr>
      <w:bookmarkStart w:id="1421" w:name="_Toc2203"/>
      <w:bookmarkStart w:id="1422" w:name="_Toc124613005"/>
      <w:bookmarkStart w:id="1423" w:name="_Toc911"/>
      <w:bookmarkStart w:id="1424" w:name="_Toc128"/>
      <w:bookmarkStart w:id="1425" w:name="_Toc16127"/>
      <w:bookmarkStart w:id="1426" w:name="_Toc7399"/>
      <w:bookmarkStart w:id="1427" w:name="_Toc26905"/>
      <w:bookmarkStart w:id="1428" w:name="_Toc27279"/>
      <w:bookmarkStart w:id="1429" w:name="_Toc4078397"/>
      <w:r>
        <w:rPr>
          <w:rFonts w:ascii="宋体" w:hAnsi="宋体"/>
          <w:b w:val="0"/>
          <w:color w:val="auto"/>
          <w:sz w:val="21"/>
          <w:szCs w:val="21"/>
        </w:rPr>
        <w:t>十三、合同份数</w:t>
      </w:r>
      <w:bookmarkEnd w:id="1421"/>
      <w:bookmarkEnd w:id="1422"/>
      <w:bookmarkEnd w:id="1423"/>
      <w:bookmarkEnd w:id="1424"/>
      <w:bookmarkEnd w:id="1425"/>
      <w:bookmarkEnd w:id="1426"/>
      <w:bookmarkEnd w:id="1427"/>
      <w:bookmarkEnd w:id="1428"/>
      <w:bookmarkEnd w:id="1429"/>
    </w:p>
    <w:p>
      <w:pPr>
        <w:pStyle w:val="128"/>
        <w:spacing w:line="360" w:lineRule="auto"/>
        <w:ind w:firstLine="420" w:firstLineChars="200"/>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w:t>
      </w:r>
    </w:p>
    <w:p>
      <w:pPr>
        <w:pStyle w:val="128"/>
        <w:spacing w:line="360" w:lineRule="auto"/>
        <w:rPr>
          <w:rFonts w:ascii="宋体" w:hAnsi="宋体"/>
          <w:bCs/>
          <w:color w:val="auto"/>
          <w:szCs w:val="21"/>
        </w:rPr>
      </w:pPr>
    </w:p>
    <w:p>
      <w:pPr>
        <w:pStyle w:val="128"/>
        <w:spacing w:line="360" w:lineRule="auto"/>
        <w:rPr>
          <w:rFonts w:ascii="宋体" w:hAnsi="宋体"/>
          <w:bCs/>
          <w:color w:val="auto"/>
          <w:szCs w:val="21"/>
        </w:rPr>
      </w:pPr>
    </w:p>
    <w:p>
      <w:pPr>
        <w:pStyle w:val="128"/>
        <w:spacing w:line="360" w:lineRule="auto"/>
        <w:rPr>
          <w:rFonts w:ascii="宋体" w:hAnsi="宋体"/>
          <w:color w:val="auto"/>
          <w:szCs w:val="21"/>
        </w:rPr>
      </w:pPr>
      <w:r>
        <w:rPr>
          <w:rFonts w:ascii="宋体" w:hAnsi="宋体"/>
          <w:color w:val="auto"/>
          <w:szCs w:val="21"/>
        </w:rPr>
        <w:t>发包人</w:t>
      </w:r>
      <w:r>
        <w:rPr>
          <w:rFonts w:hint="eastAsia" w:ascii="宋体" w:hAnsi="宋体"/>
          <w:color w:val="auto"/>
          <w:szCs w:val="21"/>
        </w:rPr>
        <w:t>：  （</w:t>
      </w:r>
      <w:r>
        <w:rPr>
          <w:rFonts w:ascii="宋体" w:hAnsi="宋体"/>
          <w:color w:val="auto"/>
          <w:szCs w:val="21"/>
        </w:rPr>
        <w:t>公章</w:t>
      </w:r>
      <w:r>
        <w:rPr>
          <w:rFonts w:hint="eastAsia" w:ascii="宋体" w:hAnsi="宋体"/>
          <w:color w:val="auto"/>
          <w:szCs w:val="21"/>
        </w:rPr>
        <w:t xml:space="preserve">）                           </w:t>
      </w:r>
      <w:r>
        <w:rPr>
          <w:rFonts w:ascii="宋体" w:hAnsi="宋体"/>
          <w:color w:val="auto"/>
          <w:szCs w:val="21"/>
        </w:rPr>
        <w:t>承包人</w:t>
      </w:r>
      <w:r>
        <w:rPr>
          <w:rFonts w:hint="eastAsia" w:ascii="宋体" w:hAnsi="宋体"/>
          <w:color w:val="auto"/>
          <w:szCs w:val="21"/>
        </w:rPr>
        <w:t>：  （</w:t>
      </w:r>
      <w:r>
        <w:rPr>
          <w:rFonts w:ascii="宋体" w:hAnsi="宋体"/>
          <w:color w:val="auto"/>
          <w:szCs w:val="21"/>
        </w:rPr>
        <w:t>公章</w:t>
      </w:r>
      <w:r>
        <w:rPr>
          <w:rFonts w:hint="eastAsia" w:ascii="宋体" w:hAnsi="宋体"/>
          <w:color w:val="auto"/>
          <w:szCs w:val="21"/>
        </w:rPr>
        <w:t>）</w:t>
      </w:r>
    </w:p>
    <w:p>
      <w:pPr>
        <w:pStyle w:val="128"/>
        <w:spacing w:line="360" w:lineRule="auto"/>
        <w:rPr>
          <w:rFonts w:ascii="宋体" w:hAnsi="宋体"/>
          <w:color w:val="auto"/>
          <w:szCs w:val="21"/>
          <w:u w:val="single"/>
        </w:rPr>
      </w:pPr>
      <w:r>
        <w:rPr>
          <w:rFonts w:hint="eastAsia" w:ascii="宋体" w:hAnsi="宋体"/>
          <w:color w:val="auto"/>
          <w:szCs w:val="21"/>
        </w:rPr>
        <w:t xml:space="preserve">                                 </w:t>
      </w:r>
    </w:p>
    <w:p>
      <w:pPr>
        <w:pStyle w:val="128"/>
        <w:spacing w:line="360" w:lineRule="auto"/>
        <w:rPr>
          <w:rFonts w:ascii="宋体" w:hAnsi="宋体"/>
          <w:color w:val="auto"/>
          <w:szCs w:val="21"/>
        </w:rPr>
      </w:pPr>
      <w:r>
        <w:rPr>
          <w:rFonts w:hint="eastAsia" w:ascii="宋体" w:hAnsi="宋体"/>
          <w:color w:val="auto"/>
          <w:szCs w:val="21"/>
        </w:rPr>
        <w:t>法定代表人或其委托代理人：                 法定代表人或其委托代理人：</w:t>
      </w:r>
    </w:p>
    <w:p>
      <w:pPr>
        <w:pStyle w:val="128"/>
        <w:spacing w:line="360" w:lineRule="auto"/>
        <w:rPr>
          <w:rFonts w:ascii="宋体" w:hAnsi="宋体"/>
          <w:color w:val="auto"/>
          <w:szCs w:val="21"/>
        </w:rPr>
      </w:pPr>
      <w:r>
        <w:rPr>
          <w:rFonts w:hint="eastAsia" w:ascii="宋体" w:hAnsi="宋体"/>
          <w:color w:val="auto"/>
          <w:szCs w:val="21"/>
        </w:rPr>
        <w:t>（签字）                                   （签字）</w:t>
      </w:r>
    </w:p>
    <w:p>
      <w:pPr>
        <w:pStyle w:val="128"/>
        <w:spacing w:line="360" w:lineRule="auto"/>
        <w:rPr>
          <w:rFonts w:ascii="宋体" w:hAnsi="宋体"/>
          <w:color w:val="auto"/>
          <w:szCs w:val="21"/>
          <w:u w:val="single"/>
        </w:rPr>
      </w:pPr>
    </w:p>
    <w:p>
      <w:pPr>
        <w:pStyle w:val="128"/>
        <w:tabs>
          <w:tab w:val="left" w:pos="4410"/>
        </w:tabs>
        <w:spacing w:line="360" w:lineRule="auto"/>
        <w:rPr>
          <w:rFonts w:ascii="宋体" w:hAnsi="宋体"/>
          <w:color w:val="auto"/>
          <w:szCs w:val="21"/>
        </w:rPr>
      </w:pPr>
      <w:r>
        <w:rPr>
          <w:rFonts w:hint="eastAsia" w:ascii="宋体" w:hAnsi="宋体"/>
          <w:color w:val="auto"/>
          <w:szCs w:val="21"/>
        </w:rPr>
        <w:t>组织机构代码：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组织机构代码：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pStyle w:val="128"/>
        <w:spacing w:line="360" w:lineRule="auto"/>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地  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邮政编码：</w:t>
      </w:r>
      <w:r>
        <w:rPr>
          <w:rFonts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委托代理人：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委托代理人：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电  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  话：</w:t>
      </w:r>
      <w:r>
        <w:rPr>
          <w:rFonts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传  真：</w:t>
      </w:r>
      <w:r>
        <w:rPr>
          <w:rFonts w:ascii="宋体" w:hAnsi="宋体"/>
          <w:color w:val="auto"/>
          <w:szCs w:val="21"/>
          <w:u w:val="single"/>
        </w:rPr>
        <w:t xml:space="preserve">                     </w:t>
      </w:r>
      <w:r>
        <w:rPr>
          <w:rFonts w:hint="eastAsia"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电子信箱：</w:t>
      </w:r>
      <w:r>
        <w:rPr>
          <w:rFonts w:ascii="宋体" w:hAnsi="宋体"/>
          <w:color w:val="auto"/>
          <w:szCs w:val="21"/>
          <w:u w:val="single"/>
        </w:rPr>
        <w:t xml:space="preserve">                    </w:t>
      </w:r>
    </w:p>
    <w:p>
      <w:pPr>
        <w:pStyle w:val="128"/>
        <w:spacing w:line="360" w:lineRule="auto"/>
        <w:rPr>
          <w:rFonts w:ascii="宋体" w:hAnsi="宋体"/>
          <w:color w:val="auto"/>
          <w:szCs w:val="21"/>
        </w:rPr>
      </w:pPr>
      <w:r>
        <w:rPr>
          <w:rFonts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开户银行：</w:t>
      </w:r>
      <w:r>
        <w:rPr>
          <w:rFonts w:ascii="宋体" w:hAnsi="宋体"/>
          <w:color w:val="auto"/>
          <w:szCs w:val="21"/>
          <w:u w:val="single"/>
        </w:rPr>
        <w:t xml:space="preserve">                    </w:t>
      </w:r>
    </w:p>
    <w:p>
      <w:pPr>
        <w:pStyle w:val="128"/>
        <w:spacing w:line="360" w:lineRule="auto"/>
        <w:rPr>
          <w:rFonts w:ascii="宋体" w:hAnsi="宋体"/>
          <w:color w:val="auto"/>
        </w:rPr>
      </w:pPr>
      <w:r>
        <w:rPr>
          <w:rFonts w:ascii="宋体" w:hAnsi="宋体"/>
          <w:bCs/>
          <w:color w:val="auto"/>
          <w:szCs w:val="21"/>
        </w:rPr>
        <w:t>账  号：</w:t>
      </w:r>
      <w:r>
        <w:rPr>
          <w:rFonts w:ascii="宋体" w:hAnsi="宋体"/>
          <w:color w:val="auto"/>
          <w:szCs w:val="21"/>
          <w:u w:val="single"/>
        </w:rPr>
        <w:t xml:space="preserve">                     </w:t>
      </w:r>
      <w:r>
        <w:rPr>
          <w:rFonts w:hint="eastAsia" w:ascii="宋体" w:hAnsi="宋体"/>
          <w:color w:val="auto"/>
          <w:szCs w:val="21"/>
        </w:rPr>
        <w:t xml:space="preserve">  </w:t>
      </w:r>
      <w:r>
        <w:rPr>
          <w:rFonts w:hint="eastAsia" w:ascii="宋体" w:hAnsi="宋体"/>
          <w:bCs/>
          <w:color w:val="auto"/>
          <w:szCs w:val="21"/>
        </w:rPr>
        <w:t xml:space="preserve">            </w:t>
      </w:r>
      <w:r>
        <w:rPr>
          <w:rFonts w:ascii="宋体" w:hAnsi="宋体"/>
          <w:bCs/>
          <w:color w:val="auto"/>
          <w:szCs w:val="21"/>
        </w:rPr>
        <w:t>账</w:t>
      </w:r>
      <w:r>
        <w:rPr>
          <w:rFonts w:hint="eastAsia" w:ascii="宋体" w:hAnsi="宋体"/>
          <w:bCs/>
          <w:color w:val="auto"/>
          <w:szCs w:val="21"/>
        </w:rPr>
        <w:t xml:space="preserve"> </w:t>
      </w:r>
      <w:r>
        <w:rPr>
          <w:rFonts w:ascii="宋体" w:hAnsi="宋体"/>
          <w:bCs/>
          <w:color w:val="auto"/>
          <w:szCs w:val="21"/>
        </w:rPr>
        <w:t xml:space="preserve"> 号：</w:t>
      </w:r>
      <w:r>
        <w:rPr>
          <w:rFonts w:ascii="宋体" w:hAnsi="宋体"/>
          <w:color w:val="auto"/>
          <w:szCs w:val="21"/>
          <w:u w:val="single"/>
        </w:rPr>
        <w:t xml:space="preserve">                      </w:t>
      </w:r>
      <w:r>
        <w:rPr>
          <w:rFonts w:ascii="宋体" w:hAnsi="宋体"/>
          <w:color w:val="auto"/>
        </w:rPr>
        <w:br w:type="page"/>
      </w:r>
    </w:p>
    <w:p>
      <w:pPr>
        <w:pStyle w:val="4"/>
        <w:ind w:firstLine="482"/>
        <w:jc w:val="center"/>
        <w:rPr>
          <w:color w:val="auto"/>
        </w:rPr>
      </w:pPr>
      <w:bookmarkStart w:id="1430" w:name="_Toc246996253"/>
      <w:bookmarkStart w:id="1431" w:name="_Toc179632628"/>
      <w:bookmarkStart w:id="1432" w:name="_Toc247085768"/>
      <w:bookmarkStart w:id="1433" w:name="_Toc12853"/>
      <w:bookmarkStart w:id="1434" w:name="_Toc124613006"/>
      <w:bookmarkStart w:id="1435" w:name="_Toc2748"/>
      <w:bookmarkStart w:id="1436" w:name="_Toc791"/>
      <w:bookmarkStart w:id="1437" w:name="_Toc14725"/>
      <w:bookmarkStart w:id="1438" w:name="_Toc23335"/>
      <w:bookmarkStart w:id="1439" w:name="_Toc246996996"/>
      <w:bookmarkStart w:id="1440" w:name="_Toc144974578"/>
      <w:bookmarkStart w:id="1441" w:name="_Toc31334"/>
      <w:bookmarkStart w:id="1442" w:name="_Toc152042388"/>
      <w:bookmarkStart w:id="1443" w:name="_Toc3518"/>
      <w:bookmarkStart w:id="1444" w:name="_Toc4078398"/>
      <w:bookmarkStart w:id="1445" w:name="_Toc152045610"/>
      <w:r>
        <w:rPr>
          <w:color w:val="auto"/>
        </w:rPr>
        <w:t>第</w:t>
      </w:r>
      <w:r>
        <w:rPr>
          <w:rFonts w:hint="eastAsia"/>
          <w:color w:val="auto"/>
        </w:rPr>
        <w:t>二</w:t>
      </w:r>
      <w:r>
        <w:rPr>
          <w:color w:val="auto"/>
        </w:rPr>
        <w:t>部分</w:t>
      </w:r>
      <w:r>
        <w:rPr>
          <w:rFonts w:hint="eastAsia"/>
          <w:color w:val="auto"/>
        </w:rPr>
        <w:t xml:space="preserve"> 通用合同条款</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pPr>
        <w:spacing w:line="360" w:lineRule="auto"/>
        <w:ind w:firstLine="482" w:firstLineChars="200"/>
        <w:rPr>
          <w:rFonts w:ascii="宋体" w:hAnsi="宋体"/>
          <w:b/>
          <w:color w:val="auto"/>
          <w:sz w:val="24"/>
        </w:rPr>
      </w:pPr>
      <w:r>
        <w:rPr>
          <w:rFonts w:hint="eastAsia" w:ascii="宋体" w:hAnsi="宋体"/>
          <w:b/>
          <w:color w:val="auto"/>
          <w:sz w:val="24"/>
        </w:rPr>
        <w:t>备注：本合同的第二部分通用合同条款和附件以</w:t>
      </w:r>
      <w:r>
        <w:rPr>
          <w:rFonts w:hint="eastAsia" w:ascii="宋体" w:hAnsi="宋体"/>
          <w:b/>
          <w:color w:val="auto"/>
          <w:sz w:val="24"/>
          <w:shd w:val="clear" w:color="auto" w:fill="FFFFFF"/>
        </w:rPr>
        <w:t>《建设工程施工合同（</w:t>
      </w:r>
      <w:r>
        <w:rPr>
          <w:rFonts w:ascii="宋体" w:hAnsi="宋体"/>
          <w:b/>
          <w:color w:val="auto"/>
          <w:sz w:val="24"/>
          <w:shd w:val="clear" w:color="auto" w:fill="FFFFFF"/>
        </w:rPr>
        <w:t>示范文本</w:t>
      </w:r>
      <w:r>
        <w:rPr>
          <w:rFonts w:hint="eastAsia" w:ascii="宋体" w:hAnsi="宋体"/>
          <w:b/>
          <w:color w:val="auto"/>
          <w:sz w:val="24"/>
          <w:shd w:val="clear" w:color="auto" w:fill="FFFFFF"/>
        </w:rPr>
        <w:t>）</w:t>
      </w:r>
      <w:r>
        <w:rPr>
          <w:rFonts w:ascii="宋体" w:hAnsi="宋体"/>
          <w:b/>
          <w:color w:val="auto"/>
          <w:sz w:val="24"/>
          <w:shd w:val="clear" w:color="auto" w:fill="FFFFFF"/>
        </w:rPr>
        <w:t>》(GF-2017-0201</w:t>
      </w:r>
      <w:r>
        <w:rPr>
          <w:rFonts w:hint="eastAsia" w:ascii="宋体" w:hAnsi="宋体"/>
          <w:b/>
          <w:color w:val="auto"/>
          <w:sz w:val="24"/>
          <w:shd w:val="clear" w:color="auto" w:fill="FFFFFF"/>
        </w:rPr>
        <w:t>)</w:t>
      </w:r>
      <w:r>
        <w:rPr>
          <w:rFonts w:hint="eastAsia" w:ascii="宋体" w:hAnsi="宋体"/>
          <w:b/>
          <w:color w:val="auto"/>
          <w:sz w:val="24"/>
        </w:rPr>
        <w:t>为准。</w:t>
      </w:r>
    </w:p>
    <w:p>
      <w:pPr>
        <w:spacing w:line="360" w:lineRule="auto"/>
        <w:ind w:firstLine="482" w:firstLineChars="200"/>
        <w:rPr>
          <w:rFonts w:ascii="宋体" w:hAnsi="宋体"/>
          <w:color w:val="auto"/>
          <w:sz w:val="20"/>
        </w:rPr>
      </w:pPr>
      <w:r>
        <w:rPr>
          <w:rFonts w:hint="eastAsia" w:ascii="宋体" w:hAnsi="宋体"/>
          <w:b/>
          <w:color w:val="auto"/>
          <w:sz w:val="24"/>
        </w:rPr>
        <w:t>（行政主管部门有新颁布版本的，按最新颁布的版本执行）</w:t>
      </w:r>
    </w:p>
    <w:p>
      <w:pPr>
        <w:pStyle w:val="4"/>
        <w:ind w:firstLine="482"/>
        <w:jc w:val="center"/>
        <w:rPr>
          <w:color w:val="auto"/>
        </w:rPr>
      </w:pPr>
      <w:bookmarkStart w:id="1446" w:name="_Toc246996335"/>
      <w:bookmarkStart w:id="1447" w:name="_Toc246997078"/>
      <w:bookmarkStart w:id="1448" w:name="_Toc247085850"/>
      <w:r>
        <w:rPr>
          <w:color w:val="auto"/>
        </w:rPr>
        <w:br w:type="page"/>
      </w:r>
      <w:bookmarkStart w:id="1449" w:name="_Toc124613007"/>
      <w:bookmarkStart w:id="1450" w:name="_Toc25397"/>
      <w:bookmarkStart w:id="1451" w:name="_Toc22975"/>
      <w:bookmarkStart w:id="1452" w:name="_Toc31753"/>
      <w:bookmarkStart w:id="1453" w:name="_Toc4078399"/>
      <w:bookmarkStart w:id="1454" w:name="_Toc6918"/>
      <w:bookmarkStart w:id="1455" w:name="_Toc8084"/>
      <w:bookmarkStart w:id="1456" w:name="_Toc17944"/>
      <w:bookmarkStart w:id="1457" w:name="_Toc4974"/>
      <w:r>
        <w:rPr>
          <w:rFonts w:hint="eastAsia"/>
          <w:color w:val="auto"/>
        </w:rPr>
        <w:t>第三部分</w:t>
      </w:r>
      <w:r>
        <w:rPr>
          <w:color w:val="auto"/>
        </w:rPr>
        <w:t xml:space="preserve"> </w:t>
      </w:r>
      <w:r>
        <w:rPr>
          <w:rFonts w:hint="eastAsia"/>
          <w:color w:val="auto"/>
        </w:rPr>
        <w:t>专用合同条款</w:t>
      </w:r>
      <w:bookmarkEnd w:id="1446"/>
      <w:bookmarkEnd w:id="1447"/>
      <w:bookmarkEnd w:id="1448"/>
      <w:bookmarkEnd w:id="1449"/>
      <w:bookmarkEnd w:id="1450"/>
      <w:bookmarkEnd w:id="1451"/>
      <w:bookmarkEnd w:id="1452"/>
      <w:bookmarkEnd w:id="1453"/>
      <w:bookmarkEnd w:id="1454"/>
      <w:bookmarkEnd w:id="1455"/>
      <w:bookmarkEnd w:id="1456"/>
      <w:bookmarkEnd w:id="1457"/>
      <w:bookmarkStart w:id="1458" w:name="_Toc152042546"/>
      <w:bookmarkStart w:id="1459" w:name="_Toc179632785"/>
      <w:bookmarkStart w:id="1460" w:name="_Toc152045767"/>
      <w:bookmarkStart w:id="1461" w:name="_Toc144974826"/>
    </w:p>
    <w:p>
      <w:pPr>
        <w:pStyle w:val="136"/>
        <w:spacing w:before="120" w:after="120" w:line="360" w:lineRule="auto"/>
        <w:outlineLvl w:val="2"/>
        <w:rPr>
          <w:rFonts w:ascii="宋体" w:hAnsi="宋体"/>
          <w:b w:val="0"/>
          <w:color w:val="auto"/>
          <w:sz w:val="21"/>
          <w:szCs w:val="21"/>
        </w:rPr>
      </w:pPr>
      <w:bookmarkStart w:id="1462" w:name="_Toc124613008"/>
      <w:bookmarkStart w:id="1463" w:name="_Toc1154"/>
      <w:bookmarkStart w:id="1464" w:name="_Toc26815"/>
      <w:bookmarkStart w:id="1465" w:name="_Toc20093"/>
      <w:bookmarkStart w:id="1466" w:name="_Toc27520"/>
      <w:bookmarkStart w:id="1467" w:name="_Toc8316"/>
      <w:bookmarkStart w:id="1468" w:name="_Toc4567"/>
      <w:bookmarkStart w:id="1469" w:name="_Toc4078400"/>
      <w:bookmarkStart w:id="1470" w:name="_Toc6051"/>
      <w:r>
        <w:rPr>
          <w:rFonts w:ascii="宋体" w:hAnsi="宋体"/>
          <w:b w:val="0"/>
          <w:color w:val="auto"/>
          <w:sz w:val="21"/>
          <w:szCs w:val="21"/>
        </w:rPr>
        <w:t>1. 一般约定</w:t>
      </w:r>
      <w:bookmarkEnd w:id="1462"/>
      <w:bookmarkEnd w:id="1463"/>
      <w:bookmarkEnd w:id="1464"/>
      <w:bookmarkEnd w:id="1465"/>
      <w:bookmarkEnd w:id="1466"/>
      <w:bookmarkEnd w:id="1467"/>
      <w:bookmarkEnd w:id="1468"/>
      <w:bookmarkEnd w:id="1469"/>
      <w:bookmarkEnd w:id="1470"/>
    </w:p>
    <w:p>
      <w:pPr>
        <w:pStyle w:val="124"/>
        <w:spacing w:after="120" w:line="360" w:lineRule="auto"/>
        <w:ind w:firstLine="420" w:firstLineChars="200"/>
        <w:rPr>
          <w:rFonts w:ascii="宋体" w:hAnsi="宋体"/>
          <w:color w:val="auto"/>
          <w:szCs w:val="21"/>
        </w:rPr>
      </w:pPr>
      <w:r>
        <w:rPr>
          <w:rFonts w:ascii="宋体" w:hAnsi="宋体"/>
          <w:color w:val="auto"/>
          <w:szCs w:val="21"/>
        </w:rPr>
        <w:t>1.1 词语定义</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1.1.1合同</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1.1.1.10其他合同文件包括：</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1.1.2 合同当事人及其他相关方</w:t>
      </w:r>
    </w:p>
    <w:p>
      <w:pPr>
        <w:pStyle w:val="124"/>
        <w:spacing w:line="360" w:lineRule="auto"/>
        <w:ind w:firstLine="420" w:firstLineChars="200"/>
        <w:rPr>
          <w:rFonts w:ascii="宋体" w:hAnsi="宋体"/>
          <w:color w:val="auto"/>
          <w:szCs w:val="21"/>
        </w:rPr>
      </w:pPr>
      <w:r>
        <w:rPr>
          <w:rFonts w:ascii="宋体" w:hAnsi="宋体"/>
          <w:color w:val="auto"/>
          <w:szCs w:val="21"/>
        </w:rPr>
        <w:t>1.1.2.4监理人：</w:t>
      </w:r>
    </w:p>
    <w:p>
      <w:pPr>
        <w:pStyle w:val="124"/>
        <w:spacing w:line="360" w:lineRule="auto"/>
        <w:ind w:firstLine="420" w:firstLineChars="200"/>
        <w:rPr>
          <w:rFonts w:ascii="宋体" w:hAnsi="宋体"/>
          <w:color w:val="auto"/>
          <w:szCs w:val="21"/>
        </w:rPr>
      </w:pPr>
      <w:r>
        <w:rPr>
          <w:rFonts w:ascii="宋体" w:hAnsi="宋体"/>
          <w:color w:val="auto"/>
          <w:szCs w:val="21"/>
        </w:rPr>
        <w:t>名    称：</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资质类别和等级：</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联系电话：</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电子信箱：</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通信地址：</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1.1.2.5 设计人：</w:t>
      </w:r>
    </w:p>
    <w:p>
      <w:pPr>
        <w:pStyle w:val="124"/>
        <w:spacing w:line="360" w:lineRule="auto"/>
        <w:ind w:firstLine="420" w:firstLineChars="200"/>
        <w:rPr>
          <w:rFonts w:ascii="宋体" w:hAnsi="宋体"/>
          <w:color w:val="auto"/>
          <w:szCs w:val="21"/>
        </w:rPr>
      </w:pPr>
      <w:r>
        <w:rPr>
          <w:rFonts w:ascii="宋体" w:hAnsi="宋体"/>
          <w:color w:val="auto"/>
          <w:szCs w:val="21"/>
        </w:rPr>
        <w:t>名    称：</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资质类别和等级：</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联系电话：</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电子信箱：</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通信地址：</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1.1.3 工程和设备</w:t>
      </w:r>
    </w:p>
    <w:p>
      <w:pPr>
        <w:pStyle w:val="124"/>
        <w:spacing w:line="360" w:lineRule="auto"/>
        <w:ind w:firstLine="420" w:firstLineChars="200"/>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1.1.3.9 永久占地包括：</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1.1.3.10 临时占地包括：</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 xml:space="preserve">1.3法律 </w:t>
      </w:r>
    </w:p>
    <w:p>
      <w:pPr>
        <w:pStyle w:val="124"/>
        <w:autoSpaceDE w:val="0"/>
        <w:autoSpaceDN w:val="0"/>
        <w:adjustRightInd w:val="0"/>
        <w:spacing w:line="360" w:lineRule="auto"/>
        <w:ind w:left="594" w:leftChars="200" w:hanging="174" w:hangingChars="83"/>
        <w:jc w:val="left"/>
        <w:rPr>
          <w:rFonts w:ascii="宋体" w:hAnsi="宋体"/>
          <w:color w:val="auto"/>
          <w:szCs w:val="21"/>
        </w:rPr>
      </w:pPr>
      <w:r>
        <w:rPr>
          <w:rFonts w:ascii="宋体" w:hAnsi="宋体"/>
          <w:color w:val="auto"/>
          <w:szCs w:val="21"/>
        </w:rPr>
        <w:t>适用于合同的其他规范性文件：</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1.4 标准和规范</w:t>
      </w:r>
    </w:p>
    <w:p>
      <w:pPr>
        <w:pStyle w:val="124"/>
        <w:spacing w:line="360" w:lineRule="auto"/>
        <w:ind w:left="594" w:leftChars="200" w:hanging="174" w:hangingChars="83"/>
        <w:rPr>
          <w:rFonts w:ascii="宋体" w:hAnsi="宋体"/>
          <w:color w:val="auto"/>
          <w:szCs w:val="21"/>
        </w:rPr>
      </w:pPr>
      <w:r>
        <w:rPr>
          <w:rFonts w:ascii="宋体" w:hAnsi="宋体"/>
          <w:color w:val="auto"/>
          <w:szCs w:val="21"/>
        </w:rPr>
        <w:t>1.4.1适用于工程的标准规范包括：</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1.4.2 发包人提供国外标准、规范的名称：</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发包人提供国外标准、规范的份数：</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szCs w:val="21"/>
        </w:rPr>
      </w:pPr>
      <w:r>
        <w:rPr>
          <w:rFonts w:ascii="宋体" w:hAnsi="宋体"/>
          <w:color w:val="auto"/>
          <w:kern w:val="0"/>
          <w:szCs w:val="21"/>
        </w:rPr>
        <w:t>发包人提供国外标准、规范的名称：</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left="596" w:leftChars="284"/>
        <w:rPr>
          <w:rFonts w:ascii="宋体" w:hAnsi="宋体"/>
          <w:color w:val="auto"/>
          <w:szCs w:val="21"/>
        </w:rPr>
      </w:pPr>
      <w:r>
        <w:rPr>
          <w:rFonts w:ascii="宋体" w:hAnsi="宋体"/>
          <w:color w:val="auto"/>
          <w:szCs w:val="21"/>
        </w:rPr>
        <w:t>1.4.3发包人对工程的技术标准和功能要求的特殊要求：</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1.5 合同文件的优先顺序</w:t>
      </w:r>
    </w:p>
    <w:p>
      <w:pPr>
        <w:pStyle w:val="124"/>
        <w:spacing w:line="360" w:lineRule="auto"/>
        <w:ind w:firstLine="420" w:firstLineChars="200"/>
        <w:rPr>
          <w:rFonts w:ascii="宋体" w:hAnsi="宋体"/>
          <w:color w:val="auto"/>
          <w:szCs w:val="21"/>
        </w:rPr>
      </w:pPr>
      <w:r>
        <w:rPr>
          <w:rFonts w:ascii="宋体" w:hAnsi="宋体"/>
          <w:color w:val="auto"/>
          <w:szCs w:val="21"/>
        </w:rPr>
        <w:t>合同文件组成及优先顺序为：</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1.6 图纸和承包人文件</w:t>
      </w:r>
      <w:r>
        <w:rPr>
          <w:rFonts w:ascii="宋体" w:hAnsi="宋体"/>
          <w:color w:val="auto"/>
          <w:szCs w:val="21"/>
        </w:rPr>
        <w:tab/>
      </w:r>
    </w:p>
    <w:p>
      <w:pPr>
        <w:pStyle w:val="124"/>
        <w:spacing w:line="360" w:lineRule="auto"/>
        <w:ind w:firstLine="420" w:firstLineChars="200"/>
        <w:rPr>
          <w:rFonts w:ascii="宋体" w:hAnsi="宋体"/>
          <w:color w:val="auto"/>
          <w:szCs w:val="21"/>
        </w:rPr>
      </w:pPr>
      <w:r>
        <w:rPr>
          <w:rFonts w:ascii="宋体" w:hAnsi="宋体"/>
          <w:color w:val="auto"/>
          <w:szCs w:val="21"/>
        </w:rPr>
        <w:t>1.6.1 图纸的提供</w:t>
      </w:r>
    </w:p>
    <w:p>
      <w:pPr>
        <w:pStyle w:val="124"/>
        <w:spacing w:line="360" w:lineRule="auto"/>
        <w:ind w:firstLine="420" w:firstLineChars="200"/>
        <w:rPr>
          <w:rFonts w:ascii="宋体" w:hAnsi="宋体"/>
          <w:color w:val="auto"/>
          <w:szCs w:val="21"/>
        </w:rPr>
      </w:pPr>
      <w:r>
        <w:rPr>
          <w:rFonts w:ascii="宋体" w:hAnsi="宋体"/>
          <w:color w:val="auto"/>
          <w:szCs w:val="21"/>
        </w:rPr>
        <w:t>发包人向承包人提供图纸的期限：</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发包人向承包人提供图纸的数量：</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发包人向承包人提供图纸的内容：</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1.6.4 承包人文件</w:t>
      </w:r>
    </w:p>
    <w:p>
      <w:pPr>
        <w:pStyle w:val="124"/>
        <w:spacing w:line="360" w:lineRule="auto"/>
        <w:ind w:left="594" w:leftChars="200" w:hanging="174" w:hangingChars="83"/>
        <w:jc w:val="left"/>
        <w:rPr>
          <w:rFonts w:ascii="宋体" w:hAnsi="宋体"/>
          <w:color w:val="auto"/>
          <w:szCs w:val="21"/>
        </w:rPr>
      </w:pPr>
      <w:r>
        <w:rPr>
          <w:rFonts w:ascii="宋体" w:hAnsi="宋体"/>
          <w:color w:val="auto"/>
          <w:szCs w:val="21"/>
        </w:rPr>
        <w:t>需要由承包人提供的文件，包括：</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承包人提供的文件的期限为：</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承包人提供的文件的数量为：</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承包人提供的文件的形式为：</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承包人文件的期限：</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1.6.5 现场图纸准备</w:t>
      </w:r>
    </w:p>
    <w:p>
      <w:pPr>
        <w:pStyle w:val="124"/>
        <w:spacing w:line="360" w:lineRule="auto"/>
        <w:ind w:firstLine="420" w:firstLineChars="200"/>
        <w:rPr>
          <w:rFonts w:ascii="宋体" w:hAnsi="宋体"/>
          <w:color w:val="auto"/>
          <w:szCs w:val="21"/>
        </w:rPr>
      </w:pPr>
      <w:r>
        <w:rPr>
          <w:rFonts w:ascii="宋体" w:hAnsi="宋体"/>
          <w:color w:val="auto"/>
          <w:szCs w:val="21"/>
        </w:rPr>
        <w:t>关于现场图纸准备的约定：</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1.7 联络</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1.7.1发包人和承包人应当在</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kern w:val="0"/>
          <w:szCs w:val="21"/>
        </w:rPr>
        <w:t>天内将与合同有关的通知、批准、证明、证书、指示、指令、要求、请求、同意、意见、确定和决定等书面函件送达对方当事人</w:t>
      </w:r>
      <w:r>
        <w:rPr>
          <w:rFonts w:hint="eastAsia"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1.7.2 发包人接收文件的地点：</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发包人指定的接收人为：</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承包人接收文件的地点：</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承包人指定的接收人为：</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监理人接收文件的地点：</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监理人指定的接收人为：</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1.10 交通运输</w:t>
      </w:r>
    </w:p>
    <w:p>
      <w:pPr>
        <w:pStyle w:val="124"/>
        <w:spacing w:line="360" w:lineRule="auto"/>
        <w:ind w:firstLine="420" w:firstLineChars="200"/>
        <w:rPr>
          <w:rFonts w:ascii="宋体" w:hAnsi="宋体"/>
          <w:color w:val="auto"/>
          <w:szCs w:val="21"/>
        </w:rPr>
      </w:pPr>
      <w:r>
        <w:rPr>
          <w:rFonts w:ascii="宋体" w:hAnsi="宋体"/>
          <w:color w:val="auto"/>
          <w:szCs w:val="21"/>
        </w:rPr>
        <w:t>1.10.1 出入现场的权利</w:t>
      </w:r>
    </w:p>
    <w:p>
      <w:pPr>
        <w:pStyle w:val="124"/>
        <w:spacing w:line="360" w:lineRule="auto"/>
        <w:ind w:left="594" w:leftChars="200" w:hanging="174" w:hangingChars="83"/>
        <w:rPr>
          <w:rFonts w:ascii="宋体" w:hAnsi="宋体"/>
          <w:color w:val="auto"/>
          <w:szCs w:val="21"/>
        </w:rPr>
      </w:pPr>
      <w:r>
        <w:rPr>
          <w:rFonts w:ascii="宋体" w:hAnsi="宋体"/>
          <w:color w:val="auto"/>
          <w:szCs w:val="21"/>
        </w:rPr>
        <w:t>关于出入现场的权利的约定：</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1.10.3 场内交通</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关于场外交通和场内交通的边界的约定：</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1.10.4超大件和超重件的运输</w:t>
      </w:r>
    </w:p>
    <w:p>
      <w:pPr>
        <w:pStyle w:val="124"/>
        <w:spacing w:line="360" w:lineRule="auto"/>
        <w:ind w:firstLine="420" w:firstLineChars="200"/>
        <w:jc w:val="left"/>
        <w:rPr>
          <w:rFonts w:ascii="宋体" w:hAnsi="宋体"/>
          <w:color w:val="auto"/>
          <w:szCs w:val="21"/>
        </w:rPr>
      </w:pPr>
      <w:r>
        <w:rPr>
          <w:rFonts w:ascii="宋体" w:hAnsi="宋体"/>
          <w:color w:val="auto"/>
          <w:szCs w:val="21"/>
        </w:rPr>
        <w:t>运输超大件或超重件所需的道路和桥梁临时加固改造费用和其他有关费用由</w:t>
      </w:r>
      <w:r>
        <w:rPr>
          <w:rFonts w:ascii="宋体" w:hAnsi="宋体"/>
          <w:color w:val="auto"/>
          <w:szCs w:val="21"/>
          <w:u w:val="single"/>
        </w:rPr>
        <w:t xml:space="preserve">         </w:t>
      </w:r>
      <w:r>
        <w:rPr>
          <w:rFonts w:ascii="宋体" w:hAnsi="宋体"/>
          <w:color w:val="auto"/>
          <w:szCs w:val="21"/>
        </w:rPr>
        <w:t>承担。</w:t>
      </w:r>
    </w:p>
    <w:p>
      <w:pPr>
        <w:pStyle w:val="124"/>
        <w:spacing w:after="120" w:line="360" w:lineRule="auto"/>
        <w:ind w:firstLine="420" w:firstLineChars="200"/>
        <w:rPr>
          <w:rFonts w:ascii="宋体" w:hAnsi="宋体"/>
          <w:color w:val="auto"/>
          <w:szCs w:val="21"/>
        </w:rPr>
      </w:pPr>
      <w:r>
        <w:rPr>
          <w:rFonts w:ascii="宋体" w:hAnsi="宋体"/>
          <w:color w:val="auto"/>
          <w:szCs w:val="21"/>
        </w:rPr>
        <w:t>1.11 知识产权</w:t>
      </w:r>
    </w:p>
    <w:p>
      <w:pPr>
        <w:pStyle w:val="124"/>
        <w:spacing w:line="360" w:lineRule="auto"/>
        <w:ind w:firstLine="420" w:firstLineChars="200"/>
        <w:rPr>
          <w:rFonts w:ascii="宋体" w:hAnsi="宋体"/>
          <w:color w:val="auto"/>
          <w:szCs w:val="21"/>
        </w:rPr>
      </w:pPr>
      <w:r>
        <w:rPr>
          <w:rFonts w:ascii="宋体" w:hAnsi="宋体"/>
          <w:color w:val="auto"/>
          <w:szCs w:val="21"/>
        </w:rPr>
        <w:t>1.11.1关于发包人提供给承包人的图纸、发包人为实施工程自行编制或委托编制的技术规范以及反映发包人关于合同要求或其他类似性质的文件的著作权的归属：</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left="594" w:leftChars="200" w:hanging="174" w:hangingChars="83"/>
        <w:rPr>
          <w:rFonts w:ascii="宋体" w:hAnsi="宋体"/>
          <w:color w:val="auto"/>
          <w:szCs w:val="21"/>
        </w:rPr>
      </w:pPr>
      <w:r>
        <w:rPr>
          <w:rFonts w:ascii="宋体" w:hAnsi="宋体"/>
          <w:color w:val="auto"/>
          <w:szCs w:val="21"/>
        </w:rPr>
        <w:t>关于发包人提供的上述文件的使用限制的要求：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left="434" w:leftChars="200" w:hanging="14" w:hangingChars="7"/>
        <w:rPr>
          <w:rFonts w:ascii="宋体" w:hAnsi="宋体"/>
          <w:color w:val="auto"/>
          <w:szCs w:val="21"/>
        </w:rPr>
      </w:pPr>
      <w:r>
        <w:rPr>
          <w:rFonts w:ascii="宋体" w:hAnsi="宋体"/>
          <w:color w:val="auto"/>
          <w:szCs w:val="21"/>
        </w:rPr>
        <w:t>1.11.2 关于承包人为实施工程所编制文件的著作权的归属：</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关于承包人提供的上述文件的使用限制的要求：</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kern w:val="0"/>
          <w:szCs w:val="21"/>
        </w:rPr>
      </w:pPr>
      <w:r>
        <w:rPr>
          <w:rFonts w:ascii="宋体" w:hAnsi="宋体"/>
          <w:color w:val="auto"/>
          <w:szCs w:val="21"/>
        </w:rPr>
        <w:t>1.11.4 承包人在施工过程中所采用的专利、专有技术、技术秘密的使用费的承担方式：</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1.13工程量清单错误的修正</w:t>
      </w:r>
    </w:p>
    <w:p>
      <w:pPr>
        <w:pStyle w:val="124"/>
        <w:spacing w:line="360" w:lineRule="auto"/>
        <w:ind w:firstLine="420" w:firstLineChars="200"/>
        <w:rPr>
          <w:rFonts w:ascii="宋体" w:hAnsi="宋体"/>
          <w:color w:val="auto"/>
          <w:szCs w:val="21"/>
        </w:rPr>
      </w:pPr>
      <w:r>
        <w:rPr>
          <w:rFonts w:hint="eastAsia" w:ascii="宋体" w:hAnsi="宋体"/>
          <w:color w:val="auto"/>
          <w:szCs w:val="21"/>
        </w:rPr>
        <w:t>出现工程量清单错误时，是否调整合同价格：</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kern w:val="0"/>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允许调整合同价格的工程量偏差范围：</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kern w:val="0"/>
          <w:szCs w:val="21"/>
        </w:rPr>
        <w:t>。</w:t>
      </w:r>
    </w:p>
    <w:p>
      <w:pPr>
        <w:pStyle w:val="136"/>
        <w:spacing w:before="120" w:after="120" w:line="360" w:lineRule="auto"/>
        <w:outlineLvl w:val="2"/>
        <w:rPr>
          <w:rFonts w:ascii="宋体" w:hAnsi="宋体"/>
          <w:b w:val="0"/>
          <w:color w:val="auto"/>
          <w:sz w:val="21"/>
          <w:szCs w:val="21"/>
        </w:rPr>
      </w:pPr>
      <w:bookmarkStart w:id="1471" w:name="_Toc24708"/>
      <w:bookmarkStart w:id="1472" w:name="_Toc12673"/>
      <w:bookmarkStart w:id="1473" w:name="_Toc14630"/>
      <w:bookmarkStart w:id="1474" w:name="_Toc124613009"/>
      <w:bookmarkStart w:id="1475" w:name="_Toc19369"/>
      <w:bookmarkStart w:id="1476" w:name="_Toc31276"/>
      <w:bookmarkStart w:id="1477" w:name="_Toc14767"/>
      <w:bookmarkStart w:id="1478" w:name="_Toc4078401"/>
      <w:bookmarkStart w:id="1479" w:name="_Toc8830"/>
      <w:r>
        <w:rPr>
          <w:rFonts w:ascii="宋体" w:hAnsi="宋体"/>
          <w:b w:val="0"/>
          <w:color w:val="auto"/>
          <w:sz w:val="21"/>
          <w:szCs w:val="21"/>
        </w:rPr>
        <w:t>2. 发包人</w:t>
      </w:r>
      <w:bookmarkEnd w:id="1471"/>
      <w:bookmarkEnd w:id="1472"/>
      <w:bookmarkEnd w:id="1473"/>
      <w:bookmarkEnd w:id="1474"/>
      <w:bookmarkEnd w:id="1475"/>
      <w:bookmarkEnd w:id="1476"/>
      <w:bookmarkEnd w:id="1477"/>
      <w:bookmarkEnd w:id="1478"/>
      <w:bookmarkEnd w:id="1479"/>
    </w:p>
    <w:p>
      <w:pPr>
        <w:pStyle w:val="124"/>
        <w:spacing w:after="120" w:line="360" w:lineRule="auto"/>
        <w:ind w:firstLine="420" w:firstLineChars="200"/>
        <w:rPr>
          <w:rFonts w:ascii="宋体" w:hAnsi="宋体"/>
          <w:color w:val="auto"/>
          <w:szCs w:val="21"/>
        </w:rPr>
      </w:pPr>
      <w:r>
        <w:rPr>
          <w:rFonts w:ascii="宋体" w:hAnsi="宋体"/>
          <w:color w:val="auto"/>
          <w:szCs w:val="21"/>
        </w:rPr>
        <w:t>2.2 发包人代表</w:t>
      </w:r>
    </w:p>
    <w:p>
      <w:pPr>
        <w:pStyle w:val="124"/>
        <w:spacing w:line="360" w:lineRule="auto"/>
        <w:ind w:firstLine="420" w:firstLineChars="200"/>
        <w:rPr>
          <w:rFonts w:ascii="宋体" w:hAnsi="宋体"/>
          <w:color w:val="auto"/>
          <w:szCs w:val="21"/>
        </w:rPr>
      </w:pPr>
      <w:r>
        <w:rPr>
          <w:rFonts w:ascii="宋体" w:hAnsi="宋体"/>
          <w:color w:val="auto"/>
          <w:szCs w:val="21"/>
        </w:rPr>
        <w:t>发包人代表：</w:t>
      </w:r>
    </w:p>
    <w:p>
      <w:pPr>
        <w:pStyle w:val="124"/>
        <w:spacing w:line="360" w:lineRule="auto"/>
        <w:ind w:firstLine="420" w:firstLineChars="200"/>
        <w:rPr>
          <w:rFonts w:ascii="宋体" w:hAnsi="宋体"/>
          <w:color w:val="auto"/>
          <w:szCs w:val="21"/>
        </w:rPr>
      </w:pPr>
      <w:r>
        <w:rPr>
          <w:rFonts w:ascii="宋体" w:hAnsi="宋体"/>
          <w:color w:val="auto"/>
          <w:szCs w:val="21"/>
        </w:rPr>
        <w:t>姓    名：</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身份证号：</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职    务：</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联系电话：</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电子信箱：</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通信地址：</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b/>
          <w:color w:val="auto"/>
          <w:szCs w:val="21"/>
        </w:rPr>
      </w:pPr>
      <w:r>
        <w:rPr>
          <w:rFonts w:ascii="宋体" w:hAnsi="宋体"/>
          <w:color w:val="auto"/>
          <w:szCs w:val="21"/>
        </w:rPr>
        <w:t>发包人对发包人代表的授权范围如下：</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2.4 施工现场、施工条件和基础资料的提供</w:t>
      </w:r>
    </w:p>
    <w:p>
      <w:pPr>
        <w:pStyle w:val="124"/>
        <w:spacing w:line="360" w:lineRule="auto"/>
        <w:ind w:firstLine="420" w:firstLineChars="200"/>
        <w:rPr>
          <w:rFonts w:ascii="宋体" w:hAnsi="宋体"/>
          <w:color w:val="auto"/>
          <w:szCs w:val="21"/>
        </w:rPr>
      </w:pPr>
      <w:r>
        <w:rPr>
          <w:rFonts w:ascii="宋体" w:hAnsi="宋体"/>
          <w:color w:val="auto"/>
          <w:szCs w:val="21"/>
        </w:rPr>
        <w:t>2.4.1 提供施工现场</w:t>
      </w:r>
    </w:p>
    <w:p>
      <w:pPr>
        <w:pStyle w:val="124"/>
        <w:spacing w:line="360" w:lineRule="auto"/>
        <w:ind w:firstLine="420" w:firstLineChars="200"/>
        <w:jc w:val="left"/>
        <w:rPr>
          <w:rFonts w:ascii="宋体" w:hAnsi="宋体"/>
          <w:color w:val="auto"/>
          <w:szCs w:val="21"/>
        </w:rPr>
      </w:pPr>
      <w:r>
        <w:rPr>
          <w:rFonts w:ascii="宋体" w:hAnsi="宋体"/>
          <w:color w:val="auto"/>
          <w:szCs w:val="21"/>
        </w:rPr>
        <w:t>关于发包人移交施工现场的期限要求：</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2.4.2 提供施工条件</w:t>
      </w:r>
    </w:p>
    <w:p>
      <w:pPr>
        <w:pStyle w:val="124"/>
        <w:spacing w:line="360" w:lineRule="auto"/>
        <w:ind w:firstLine="420" w:firstLineChars="200"/>
        <w:rPr>
          <w:rFonts w:ascii="宋体" w:hAnsi="宋体"/>
          <w:color w:val="auto"/>
          <w:szCs w:val="21"/>
          <w:u w:val="single"/>
        </w:rPr>
      </w:pPr>
      <w:r>
        <w:rPr>
          <w:rFonts w:ascii="宋体" w:hAnsi="宋体"/>
          <w:color w:val="auto"/>
          <w:szCs w:val="21"/>
        </w:rPr>
        <w:t>关于发包人应负责提供施工</w:t>
      </w:r>
      <w:r>
        <w:rPr>
          <w:rFonts w:hint="eastAsia" w:ascii="宋体" w:hAnsi="宋体"/>
          <w:color w:val="auto"/>
          <w:szCs w:val="21"/>
        </w:rPr>
        <w:t>所需要的条件，</w:t>
      </w:r>
      <w:r>
        <w:rPr>
          <w:rFonts w:ascii="宋体" w:hAnsi="宋体"/>
          <w:color w:val="auto"/>
          <w:szCs w:val="21"/>
        </w:rPr>
        <w:t>包括：</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2.5 资金来源证明及支付担保</w:t>
      </w:r>
    </w:p>
    <w:p>
      <w:pPr>
        <w:pStyle w:val="124"/>
        <w:spacing w:line="360" w:lineRule="auto"/>
        <w:ind w:firstLine="420" w:firstLineChars="200"/>
        <w:rPr>
          <w:rFonts w:ascii="宋体" w:hAnsi="宋体"/>
          <w:color w:val="auto"/>
          <w:szCs w:val="21"/>
        </w:rPr>
      </w:pPr>
      <w:r>
        <w:rPr>
          <w:rFonts w:ascii="宋体" w:hAnsi="宋体"/>
          <w:color w:val="auto"/>
          <w:szCs w:val="21"/>
        </w:rPr>
        <w:t>发包人提供资金来源证明的期限要求：</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发包人是否提供支付担保：</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u w:val="single"/>
        </w:rPr>
      </w:pPr>
      <w:r>
        <w:rPr>
          <w:rFonts w:ascii="宋体" w:hAnsi="宋体"/>
          <w:color w:val="auto"/>
          <w:szCs w:val="21"/>
        </w:rPr>
        <w:t>发包人提供支付担保的形式：</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480" w:name="_Toc11953"/>
      <w:bookmarkStart w:id="1481" w:name="_Toc124613010"/>
      <w:bookmarkStart w:id="1482" w:name="_Toc24771"/>
      <w:bookmarkStart w:id="1483" w:name="_Toc30947"/>
      <w:bookmarkStart w:id="1484" w:name="_Toc17994"/>
      <w:bookmarkStart w:id="1485" w:name="_Toc4078402"/>
      <w:bookmarkStart w:id="1486" w:name="_Toc23607"/>
      <w:bookmarkStart w:id="1487" w:name="_Toc19495"/>
      <w:bookmarkStart w:id="1488" w:name="_Toc24033"/>
      <w:r>
        <w:rPr>
          <w:rFonts w:ascii="宋体" w:hAnsi="宋体"/>
          <w:b w:val="0"/>
          <w:color w:val="auto"/>
          <w:sz w:val="21"/>
          <w:szCs w:val="21"/>
        </w:rPr>
        <w:t>3. 承包人</w:t>
      </w:r>
      <w:bookmarkEnd w:id="1480"/>
      <w:bookmarkEnd w:id="1481"/>
      <w:bookmarkEnd w:id="1482"/>
      <w:bookmarkEnd w:id="1483"/>
      <w:bookmarkEnd w:id="1484"/>
      <w:bookmarkEnd w:id="1485"/>
      <w:bookmarkEnd w:id="1486"/>
      <w:bookmarkEnd w:id="1487"/>
      <w:bookmarkEnd w:id="1488"/>
    </w:p>
    <w:p>
      <w:pPr>
        <w:pStyle w:val="124"/>
        <w:spacing w:after="120" w:line="360" w:lineRule="auto"/>
        <w:ind w:firstLine="420" w:firstLineChars="200"/>
        <w:rPr>
          <w:rFonts w:ascii="宋体" w:hAnsi="宋体"/>
          <w:color w:val="auto"/>
          <w:szCs w:val="21"/>
        </w:rPr>
      </w:pPr>
      <w:r>
        <w:rPr>
          <w:rFonts w:ascii="宋体" w:hAnsi="宋体"/>
          <w:color w:val="auto"/>
          <w:szCs w:val="21"/>
        </w:rPr>
        <w:t>3.1 承包人的一般义务</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ascii="宋体" w:hAnsi="宋体"/>
          <w:color w:val="auto"/>
          <w:szCs w:val="21"/>
        </w:rPr>
        <w:t>承包人提交的竣工资料的内容：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承包人需要提交的竣工资料套数：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承包人提交的竣工资料的费用承担：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承包人提交的竣工资料移交时间：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kern w:val="0"/>
          <w:szCs w:val="21"/>
        </w:rPr>
        <w:t>（</w:t>
      </w:r>
      <w:r>
        <w:rPr>
          <w:rFonts w:hint="eastAsia" w:ascii="宋体" w:hAnsi="宋体"/>
          <w:color w:val="auto"/>
          <w:kern w:val="0"/>
          <w:szCs w:val="21"/>
        </w:rPr>
        <w:t>10</w:t>
      </w:r>
      <w:r>
        <w:rPr>
          <w:rFonts w:ascii="宋体" w:hAnsi="宋体"/>
          <w:color w:val="auto"/>
          <w:kern w:val="0"/>
          <w:szCs w:val="21"/>
        </w:rPr>
        <w:t>）承包人应履行的其他义务：</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 xml:space="preserve">3.2 </w:t>
      </w:r>
      <w:r>
        <w:rPr>
          <w:rFonts w:hint="eastAsia" w:ascii="宋体" w:hAnsi="宋体"/>
          <w:color w:val="auto"/>
          <w:szCs w:val="21"/>
        </w:rPr>
        <w:t>项目负责人</w:t>
      </w:r>
    </w:p>
    <w:p>
      <w:pPr>
        <w:pStyle w:val="124"/>
        <w:spacing w:line="360" w:lineRule="auto"/>
        <w:ind w:firstLine="420" w:firstLineChars="200"/>
        <w:rPr>
          <w:rFonts w:ascii="宋体" w:hAnsi="宋体"/>
          <w:color w:val="auto"/>
          <w:szCs w:val="21"/>
        </w:rPr>
      </w:pPr>
      <w:r>
        <w:rPr>
          <w:rFonts w:ascii="宋体" w:hAnsi="宋体"/>
          <w:color w:val="auto"/>
          <w:kern w:val="0"/>
          <w:szCs w:val="21"/>
        </w:rPr>
        <w:t xml:space="preserve">3.2.1 </w:t>
      </w:r>
      <w:r>
        <w:rPr>
          <w:rFonts w:hint="eastAsia" w:ascii="宋体" w:hAnsi="宋体"/>
          <w:color w:val="auto"/>
          <w:szCs w:val="21"/>
        </w:rPr>
        <w:t>项目负责人</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姓    名：</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身份证号：</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建造师执业资格等级：</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建造师注册证书号：</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建造师执业印章号：</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安全生产考核合格证书号：</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联系电话：</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电子信箱：</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通信地址：</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承包人对</w:t>
      </w:r>
      <w:r>
        <w:rPr>
          <w:rFonts w:hint="eastAsia" w:ascii="宋体" w:hAnsi="宋体"/>
          <w:color w:val="auto"/>
          <w:szCs w:val="21"/>
        </w:rPr>
        <w:t>项目负责人</w:t>
      </w:r>
      <w:r>
        <w:rPr>
          <w:rFonts w:ascii="宋体" w:hAnsi="宋体"/>
          <w:color w:val="auto"/>
          <w:szCs w:val="21"/>
        </w:rPr>
        <w:t>的授权范围如下：</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关于</w:t>
      </w:r>
      <w:r>
        <w:rPr>
          <w:rFonts w:hint="eastAsia" w:ascii="宋体" w:hAnsi="宋体"/>
          <w:color w:val="auto"/>
          <w:kern w:val="0"/>
          <w:szCs w:val="21"/>
        </w:rPr>
        <w:t>项目负责人</w:t>
      </w:r>
      <w:r>
        <w:rPr>
          <w:rFonts w:ascii="宋体" w:hAnsi="宋体"/>
          <w:color w:val="auto"/>
          <w:kern w:val="0"/>
          <w:szCs w:val="21"/>
        </w:rPr>
        <w:t>每月在施工现场的时间要求：</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kern w:val="0"/>
          <w:szCs w:val="21"/>
        </w:rPr>
      </w:pPr>
      <w:r>
        <w:rPr>
          <w:rFonts w:ascii="宋体" w:hAnsi="宋体"/>
          <w:color w:val="auto"/>
          <w:kern w:val="0"/>
          <w:szCs w:val="21"/>
        </w:rPr>
        <w:t>承包人未提交劳动合同，以及没有为</w:t>
      </w:r>
      <w:r>
        <w:rPr>
          <w:rFonts w:hint="eastAsia" w:ascii="宋体" w:hAnsi="宋体"/>
          <w:color w:val="auto"/>
          <w:kern w:val="0"/>
          <w:szCs w:val="21"/>
        </w:rPr>
        <w:t>项目负责人</w:t>
      </w:r>
      <w:r>
        <w:rPr>
          <w:rFonts w:ascii="宋体" w:hAnsi="宋体"/>
          <w:color w:val="auto"/>
          <w:kern w:val="0"/>
          <w:szCs w:val="21"/>
        </w:rPr>
        <w:t>缴纳社会保险证明的违约责任：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u w:val="single"/>
        </w:rPr>
      </w:pPr>
      <w:r>
        <w:rPr>
          <w:rFonts w:hint="eastAsia" w:ascii="宋体" w:hAnsi="宋体"/>
          <w:color w:val="auto"/>
          <w:kern w:val="0"/>
          <w:szCs w:val="21"/>
        </w:rPr>
        <w:t>项目负责人</w:t>
      </w:r>
      <w:r>
        <w:rPr>
          <w:rFonts w:ascii="宋体" w:hAnsi="宋体"/>
          <w:color w:val="auto"/>
          <w:kern w:val="0"/>
          <w:szCs w:val="21"/>
        </w:rPr>
        <w:t>未经批准，擅自离开施工现场的违约责任：</w:t>
      </w:r>
      <w:r>
        <w:rPr>
          <w:rFonts w:hint="eastAsia"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3.2.3 承包人擅自更换</w:t>
      </w:r>
      <w:r>
        <w:rPr>
          <w:rFonts w:hint="eastAsia" w:ascii="宋体" w:hAnsi="宋体"/>
          <w:color w:val="auto"/>
          <w:szCs w:val="21"/>
        </w:rPr>
        <w:t>项目负责人</w:t>
      </w:r>
      <w:r>
        <w:rPr>
          <w:rFonts w:ascii="宋体" w:hAnsi="宋体"/>
          <w:color w:val="auto"/>
          <w:szCs w:val="21"/>
        </w:rPr>
        <w:t>的违约责任：</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rPr>
          <w:rFonts w:ascii="宋体" w:hAnsi="宋体"/>
          <w:color w:val="auto"/>
          <w:szCs w:val="21"/>
        </w:rPr>
      </w:pPr>
      <w:r>
        <w:rPr>
          <w:rFonts w:ascii="宋体" w:hAnsi="宋体"/>
          <w:color w:val="auto"/>
          <w:szCs w:val="21"/>
        </w:rPr>
        <w:t xml:space="preserve">    3.2.4 承包人无正当理由拒绝更换</w:t>
      </w:r>
      <w:r>
        <w:rPr>
          <w:rFonts w:hint="eastAsia" w:ascii="宋体" w:hAnsi="宋体"/>
          <w:color w:val="auto"/>
          <w:szCs w:val="21"/>
        </w:rPr>
        <w:t>项目负责人</w:t>
      </w:r>
      <w:r>
        <w:rPr>
          <w:rFonts w:ascii="宋体" w:hAnsi="宋体"/>
          <w:color w:val="auto"/>
          <w:szCs w:val="21"/>
        </w:rPr>
        <w:t>的违约责任：</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3.3 承包人人员</w:t>
      </w:r>
    </w:p>
    <w:p>
      <w:pPr>
        <w:pStyle w:val="124"/>
        <w:spacing w:line="360" w:lineRule="auto"/>
        <w:ind w:firstLine="420" w:firstLineChars="200"/>
        <w:rPr>
          <w:rFonts w:ascii="宋体" w:hAnsi="宋体"/>
          <w:color w:val="auto"/>
          <w:szCs w:val="21"/>
        </w:rPr>
      </w:pPr>
      <w:r>
        <w:rPr>
          <w:rFonts w:ascii="宋体" w:hAnsi="宋体"/>
          <w:color w:val="auto"/>
          <w:szCs w:val="21"/>
        </w:rPr>
        <w:t>3.3.1 承包人提交项目管理机构及施工现场管理人员安排报告的期限：</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3.3.3 承包人无正当理由拒绝撤换主要施工管理人员的违约责任：</w:t>
      </w:r>
      <w:r>
        <w:rPr>
          <w:rFonts w:hint="eastAsia" w:ascii="宋体" w:hAnsi="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u w:val="single"/>
        </w:rPr>
      </w:pPr>
      <w:r>
        <w:rPr>
          <w:rFonts w:ascii="宋体" w:hAnsi="宋体"/>
          <w:color w:val="auto"/>
          <w:szCs w:val="21"/>
        </w:rPr>
        <w:t xml:space="preserve">3.3.4 承包人主要施工管理人员离开施工现场的批准要求：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3.3.5承包人擅自更换主要施工管理人员的违约责任：</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 xml:space="preserve"> </w:t>
      </w:r>
      <w:r>
        <w:rPr>
          <w:rFonts w:ascii="宋体" w:hAnsi="宋体"/>
          <w:color w:val="auto"/>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3.5 分包</w:t>
      </w:r>
    </w:p>
    <w:p>
      <w:pPr>
        <w:pStyle w:val="124"/>
        <w:spacing w:line="360" w:lineRule="auto"/>
        <w:ind w:firstLine="420" w:firstLineChars="200"/>
        <w:rPr>
          <w:rFonts w:ascii="宋体" w:hAnsi="宋体"/>
          <w:color w:val="auto"/>
          <w:szCs w:val="21"/>
        </w:rPr>
      </w:pPr>
      <w:r>
        <w:rPr>
          <w:rFonts w:ascii="宋体" w:hAnsi="宋体"/>
          <w:color w:val="auto"/>
          <w:szCs w:val="21"/>
        </w:rPr>
        <w:t>3.5.1 分包的一般约定</w:t>
      </w:r>
    </w:p>
    <w:p>
      <w:pPr>
        <w:pStyle w:val="124"/>
        <w:spacing w:line="360" w:lineRule="auto"/>
        <w:ind w:firstLine="420" w:firstLineChars="200"/>
        <w:jc w:val="left"/>
        <w:rPr>
          <w:rFonts w:ascii="宋体" w:hAnsi="宋体"/>
          <w:color w:val="auto"/>
          <w:szCs w:val="21"/>
        </w:rPr>
      </w:pPr>
      <w:r>
        <w:rPr>
          <w:rFonts w:ascii="宋体" w:hAnsi="宋体"/>
          <w:color w:val="auto"/>
          <w:szCs w:val="21"/>
        </w:rPr>
        <w:t>禁止分包的工程包括：</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主体结构、关键性工作的范围：</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rPr>
          <w:rFonts w:ascii="宋体" w:hAnsi="宋体"/>
          <w:color w:val="auto"/>
          <w:szCs w:val="21"/>
        </w:rPr>
      </w:pPr>
      <w:r>
        <w:rPr>
          <w:rFonts w:ascii="宋体" w:hAnsi="宋体"/>
          <w:color w:val="auto"/>
          <w:szCs w:val="21"/>
        </w:rPr>
        <w:t xml:space="preserve">    3.5.2分包的确定</w:t>
      </w:r>
    </w:p>
    <w:p>
      <w:pPr>
        <w:pStyle w:val="124"/>
        <w:spacing w:line="360" w:lineRule="auto"/>
        <w:ind w:firstLine="420" w:firstLineChars="200"/>
        <w:rPr>
          <w:rFonts w:ascii="宋体" w:hAnsi="宋体"/>
          <w:color w:val="auto"/>
          <w:szCs w:val="21"/>
          <w:u w:val="single"/>
        </w:rPr>
      </w:pPr>
      <w:r>
        <w:rPr>
          <w:rFonts w:ascii="宋体" w:hAnsi="宋体"/>
          <w:color w:val="auto"/>
          <w:szCs w:val="21"/>
        </w:rPr>
        <w:t>允许分包的专业工程包括：</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pStyle w:val="124"/>
        <w:wordWrap w:val="0"/>
        <w:spacing w:line="360" w:lineRule="auto"/>
        <w:ind w:firstLine="420" w:firstLineChars="200"/>
        <w:rPr>
          <w:rFonts w:ascii="宋体" w:hAnsi="宋体"/>
          <w:color w:val="auto"/>
          <w:szCs w:val="21"/>
        </w:rPr>
      </w:pPr>
      <w:r>
        <w:rPr>
          <w:rFonts w:ascii="宋体" w:hAnsi="宋体"/>
          <w:color w:val="auto"/>
          <w:szCs w:val="21"/>
        </w:rPr>
        <w:t>其他关于分包的约定：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3.5.4 分包合同价款</w:t>
      </w:r>
    </w:p>
    <w:p>
      <w:pPr>
        <w:pStyle w:val="124"/>
        <w:spacing w:line="360" w:lineRule="auto"/>
        <w:ind w:firstLine="420" w:firstLineChars="200"/>
        <w:rPr>
          <w:rFonts w:ascii="宋体" w:hAnsi="宋体"/>
          <w:color w:val="auto"/>
          <w:szCs w:val="21"/>
        </w:rPr>
      </w:pPr>
      <w:r>
        <w:rPr>
          <w:rFonts w:ascii="宋体" w:hAnsi="宋体"/>
          <w:color w:val="auto"/>
          <w:szCs w:val="21"/>
        </w:rPr>
        <w:t>关于分包合同价款支付的约定：</w:t>
      </w:r>
      <w:r>
        <w:rPr>
          <w:rFonts w:ascii="宋体" w:hAnsi="宋体"/>
          <w:color w:val="auto"/>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3.6 工程照管与成品、半成品保护</w:t>
      </w:r>
    </w:p>
    <w:p>
      <w:pPr>
        <w:pStyle w:val="124"/>
        <w:spacing w:before="120" w:after="120" w:line="360" w:lineRule="auto"/>
        <w:ind w:firstLine="420" w:firstLineChars="200"/>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3.7 履约担保</w:t>
      </w:r>
    </w:p>
    <w:p>
      <w:pPr>
        <w:pStyle w:val="124"/>
        <w:spacing w:line="360" w:lineRule="auto"/>
        <w:ind w:firstLine="420" w:firstLineChars="200"/>
        <w:jc w:val="left"/>
        <w:rPr>
          <w:rFonts w:ascii="宋体" w:hAnsi="宋体"/>
          <w:color w:val="auto"/>
          <w:szCs w:val="21"/>
        </w:rPr>
      </w:pPr>
      <w:r>
        <w:rPr>
          <w:rFonts w:hint="eastAsia" w:ascii="宋体" w:hAnsi="宋体"/>
          <w:color w:val="auto"/>
          <w:szCs w:val="21"/>
        </w:rPr>
        <w:t>承包人是否提供履约担保：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承包人提供履约担保的形式</w:t>
      </w:r>
      <w:r>
        <w:rPr>
          <w:rFonts w:hint="eastAsia" w:ascii="宋体" w:hAnsi="宋体"/>
          <w:color w:val="auto"/>
          <w:szCs w:val="21"/>
        </w:rPr>
        <w:t>、金额及期限的</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489" w:name="_Toc124613011"/>
      <w:bookmarkStart w:id="1490" w:name="_Toc8888"/>
      <w:bookmarkStart w:id="1491" w:name="_Toc18634"/>
      <w:bookmarkStart w:id="1492" w:name="_Toc25218"/>
      <w:bookmarkStart w:id="1493" w:name="_Toc7682"/>
      <w:bookmarkStart w:id="1494" w:name="_Toc4078403"/>
      <w:bookmarkStart w:id="1495" w:name="_Toc3474"/>
      <w:bookmarkStart w:id="1496" w:name="_Toc21325"/>
      <w:bookmarkStart w:id="1497" w:name="_Toc26766"/>
      <w:r>
        <w:rPr>
          <w:rFonts w:ascii="宋体" w:hAnsi="宋体"/>
          <w:b w:val="0"/>
          <w:color w:val="auto"/>
          <w:sz w:val="21"/>
          <w:szCs w:val="21"/>
        </w:rPr>
        <w:t>4. 监理人</w:t>
      </w:r>
      <w:bookmarkEnd w:id="1489"/>
      <w:bookmarkEnd w:id="1490"/>
      <w:bookmarkEnd w:id="1491"/>
      <w:bookmarkEnd w:id="1492"/>
      <w:bookmarkEnd w:id="1493"/>
      <w:bookmarkEnd w:id="1494"/>
      <w:bookmarkEnd w:id="1495"/>
      <w:bookmarkEnd w:id="1496"/>
      <w:bookmarkEnd w:id="1497"/>
    </w:p>
    <w:p>
      <w:pPr>
        <w:pStyle w:val="124"/>
        <w:spacing w:after="120" w:line="360" w:lineRule="auto"/>
        <w:ind w:firstLine="420" w:firstLineChars="200"/>
        <w:rPr>
          <w:rFonts w:ascii="宋体" w:hAnsi="宋体"/>
          <w:color w:val="auto"/>
          <w:szCs w:val="21"/>
        </w:rPr>
      </w:pPr>
      <w:r>
        <w:rPr>
          <w:rFonts w:ascii="宋体" w:hAnsi="宋体"/>
          <w:color w:val="auto"/>
          <w:szCs w:val="21"/>
        </w:rPr>
        <w:t>4.1监理人的一般规定</w:t>
      </w:r>
    </w:p>
    <w:p>
      <w:pPr>
        <w:pStyle w:val="124"/>
        <w:spacing w:line="360" w:lineRule="auto"/>
        <w:ind w:firstLine="420" w:firstLineChars="200"/>
        <w:jc w:val="left"/>
        <w:rPr>
          <w:rFonts w:ascii="宋体" w:hAnsi="宋体"/>
          <w:color w:val="auto"/>
          <w:szCs w:val="21"/>
        </w:rPr>
      </w:pPr>
      <w:r>
        <w:rPr>
          <w:rFonts w:ascii="宋体" w:hAnsi="宋体"/>
          <w:color w:val="auto"/>
          <w:szCs w:val="21"/>
        </w:rPr>
        <w:t>关于监理人的监理内容：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关于监理人的监理权限：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pStyle w:val="124"/>
        <w:spacing w:line="360" w:lineRule="auto"/>
        <w:ind w:firstLine="420" w:firstLineChars="200"/>
        <w:rPr>
          <w:rFonts w:ascii="宋体" w:hAnsi="宋体"/>
          <w:color w:val="auto"/>
          <w:szCs w:val="21"/>
        </w:rPr>
      </w:pPr>
      <w:r>
        <w:rPr>
          <w:rFonts w:ascii="宋体" w:hAnsi="宋体"/>
          <w:color w:val="auto"/>
          <w:szCs w:val="21"/>
        </w:rPr>
        <w:t>关于监理人在施工现场的办公场所、生活场所的提供和费用承担的约定：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4.2 监理人员</w:t>
      </w:r>
    </w:p>
    <w:p>
      <w:pPr>
        <w:pStyle w:val="124"/>
        <w:spacing w:line="360" w:lineRule="auto"/>
        <w:ind w:firstLine="420" w:firstLineChars="200"/>
        <w:rPr>
          <w:rFonts w:ascii="宋体" w:hAnsi="宋体"/>
          <w:color w:val="auto"/>
          <w:szCs w:val="21"/>
        </w:rPr>
      </w:pPr>
      <w:r>
        <w:rPr>
          <w:rFonts w:ascii="宋体" w:hAnsi="宋体"/>
          <w:color w:val="auto"/>
          <w:szCs w:val="21"/>
        </w:rPr>
        <w:t>总监理工程师：</w:t>
      </w:r>
    </w:p>
    <w:p>
      <w:pPr>
        <w:pStyle w:val="124"/>
        <w:spacing w:line="360" w:lineRule="auto"/>
        <w:ind w:firstLine="420" w:firstLineChars="200"/>
        <w:rPr>
          <w:rFonts w:ascii="宋体" w:hAnsi="宋体"/>
          <w:color w:val="auto"/>
          <w:szCs w:val="21"/>
        </w:rPr>
      </w:pPr>
      <w:r>
        <w:rPr>
          <w:rFonts w:ascii="宋体" w:hAnsi="宋体"/>
          <w:color w:val="auto"/>
          <w:szCs w:val="21"/>
        </w:rPr>
        <w:t>姓    名：</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职    务：</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监理工程师执业资格证书号：</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联系电话：</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电子信箱：</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通信地址：</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line="360" w:lineRule="auto"/>
        <w:ind w:firstLine="420" w:firstLineChars="200"/>
        <w:rPr>
          <w:rFonts w:ascii="宋体" w:hAnsi="宋体"/>
          <w:color w:val="auto"/>
          <w:szCs w:val="21"/>
        </w:rPr>
      </w:pPr>
      <w:r>
        <w:rPr>
          <w:rFonts w:ascii="宋体" w:hAnsi="宋体"/>
          <w:color w:val="auto"/>
          <w:szCs w:val="21"/>
        </w:rPr>
        <w:t>关于监理人的其他约定：</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hint="eastAsia" w:ascii="宋体" w:hAnsi="宋体" w:cs="宋体"/>
          <w:color w:val="auto"/>
          <w:szCs w:val="21"/>
          <w:u w:val="single"/>
        </w:rPr>
        <w:t xml:space="preserve"> </w:t>
      </w:r>
      <w:r>
        <w:rPr>
          <w:rFonts w:ascii="宋体" w:hAnsi="宋体"/>
          <w:color w:val="auto"/>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4.4 商定或确定</w:t>
      </w:r>
    </w:p>
    <w:p>
      <w:pPr>
        <w:pStyle w:val="124"/>
        <w:spacing w:line="360" w:lineRule="auto"/>
        <w:ind w:firstLine="420" w:firstLineChars="200"/>
        <w:rPr>
          <w:rFonts w:ascii="宋体" w:hAnsi="宋体"/>
          <w:color w:val="auto"/>
          <w:szCs w:val="21"/>
        </w:rPr>
      </w:pPr>
      <w:r>
        <w:rPr>
          <w:rFonts w:ascii="宋体" w:hAnsi="宋体"/>
          <w:color w:val="auto"/>
          <w:szCs w:val="21"/>
        </w:rPr>
        <w:t>在发包人和承包人不能通过协商达成一致意见时，发包人授权监理人对以下事项进行确定：</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498" w:name="_Toc20522"/>
      <w:bookmarkStart w:id="1499" w:name="_Toc9145"/>
      <w:bookmarkStart w:id="1500" w:name="_Toc124613012"/>
      <w:bookmarkStart w:id="1501" w:name="_Toc1209"/>
      <w:bookmarkStart w:id="1502" w:name="_Toc4078404"/>
      <w:bookmarkStart w:id="1503" w:name="_Toc23578"/>
      <w:bookmarkStart w:id="1504" w:name="_Toc4171"/>
      <w:bookmarkStart w:id="1505" w:name="_Toc3557"/>
      <w:bookmarkStart w:id="1506" w:name="_Toc16495"/>
      <w:r>
        <w:rPr>
          <w:rFonts w:ascii="宋体" w:hAnsi="宋体"/>
          <w:b w:val="0"/>
          <w:color w:val="auto"/>
          <w:sz w:val="21"/>
          <w:szCs w:val="21"/>
        </w:rPr>
        <w:t>5. 工程质量</w:t>
      </w:r>
      <w:bookmarkEnd w:id="1498"/>
      <w:bookmarkEnd w:id="1499"/>
      <w:bookmarkEnd w:id="1500"/>
      <w:bookmarkEnd w:id="1501"/>
      <w:bookmarkEnd w:id="1502"/>
      <w:bookmarkEnd w:id="1503"/>
      <w:bookmarkEnd w:id="1504"/>
      <w:bookmarkEnd w:id="1505"/>
      <w:bookmarkEnd w:id="1506"/>
    </w:p>
    <w:p>
      <w:pPr>
        <w:pStyle w:val="124"/>
        <w:spacing w:after="120" w:line="360" w:lineRule="auto"/>
        <w:ind w:firstLine="420" w:firstLineChars="200"/>
        <w:rPr>
          <w:rFonts w:ascii="宋体" w:hAnsi="宋体"/>
          <w:color w:val="auto"/>
          <w:szCs w:val="21"/>
        </w:rPr>
      </w:pPr>
      <w:r>
        <w:rPr>
          <w:rFonts w:ascii="宋体" w:hAnsi="宋体"/>
          <w:color w:val="auto"/>
          <w:szCs w:val="21"/>
        </w:rPr>
        <w:t>5.1 质量要求</w:t>
      </w:r>
    </w:p>
    <w:p>
      <w:pPr>
        <w:pStyle w:val="124"/>
        <w:spacing w:line="360" w:lineRule="auto"/>
        <w:ind w:firstLine="420" w:firstLineChars="200"/>
        <w:jc w:val="left"/>
        <w:rPr>
          <w:rFonts w:ascii="宋体" w:hAnsi="宋体"/>
          <w:color w:val="auto"/>
          <w:szCs w:val="21"/>
        </w:rPr>
      </w:pPr>
      <w:r>
        <w:rPr>
          <w:rFonts w:ascii="宋体" w:hAnsi="宋体"/>
          <w:color w:val="auto"/>
          <w:szCs w:val="21"/>
        </w:rPr>
        <w:t>5.1.1 特殊质量标准和要求：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关于工程奖项的约定：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5.3 隐蔽工程检查</w:t>
      </w:r>
    </w:p>
    <w:p>
      <w:pPr>
        <w:pStyle w:val="124"/>
        <w:spacing w:line="360" w:lineRule="auto"/>
        <w:ind w:firstLine="420" w:firstLineChars="200"/>
        <w:jc w:val="left"/>
        <w:rPr>
          <w:rFonts w:ascii="宋体" w:hAnsi="宋体"/>
          <w:color w:val="auto"/>
          <w:szCs w:val="21"/>
        </w:rPr>
      </w:pPr>
      <w:r>
        <w:rPr>
          <w:rFonts w:ascii="宋体" w:hAnsi="宋体"/>
          <w:color w:val="auto"/>
          <w:szCs w:val="21"/>
        </w:rPr>
        <w:t>5.3.2承包人提前通知监理人隐蔽工程检查的期限的约定：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ascii="宋体" w:hAnsi="宋体"/>
          <w:color w:val="auto"/>
          <w:szCs w:val="21"/>
        </w:rPr>
        <w:t>小时提交书面延期要求。</w:t>
      </w:r>
    </w:p>
    <w:p>
      <w:pPr>
        <w:pStyle w:val="124"/>
        <w:spacing w:line="360" w:lineRule="auto"/>
        <w:ind w:firstLine="420" w:firstLineChars="200"/>
        <w:jc w:val="left"/>
        <w:rPr>
          <w:rFonts w:ascii="宋体" w:hAnsi="宋体"/>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pStyle w:val="136"/>
        <w:spacing w:before="120" w:after="120" w:line="360" w:lineRule="auto"/>
        <w:outlineLvl w:val="2"/>
        <w:rPr>
          <w:rFonts w:ascii="宋体" w:hAnsi="宋体"/>
          <w:b w:val="0"/>
          <w:color w:val="auto"/>
          <w:sz w:val="21"/>
          <w:szCs w:val="21"/>
        </w:rPr>
      </w:pPr>
      <w:bookmarkStart w:id="1507" w:name="_Toc26229"/>
      <w:bookmarkStart w:id="1508" w:name="_Toc6704"/>
      <w:bookmarkStart w:id="1509" w:name="_Toc124613013"/>
      <w:bookmarkStart w:id="1510" w:name="_Toc10108"/>
      <w:bookmarkStart w:id="1511" w:name="_Toc20060"/>
      <w:bookmarkStart w:id="1512" w:name="_Toc18120"/>
      <w:bookmarkStart w:id="1513" w:name="_Toc8404"/>
      <w:bookmarkStart w:id="1514" w:name="_Toc4078405"/>
      <w:bookmarkStart w:id="1515" w:name="_Toc2335"/>
      <w:r>
        <w:rPr>
          <w:rFonts w:ascii="宋体" w:hAnsi="宋体"/>
          <w:b w:val="0"/>
          <w:color w:val="auto"/>
          <w:sz w:val="21"/>
          <w:szCs w:val="21"/>
        </w:rPr>
        <w:t>6. 安全文明施工与环境保护</w:t>
      </w:r>
      <w:bookmarkEnd w:id="1507"/>
      <w:bookmarkEnd w:id="1508"/>
      <w:bookmarkEnd w:id="1509"/>
      <w:bookmarkEnd w:id="1510"/>
      <w:bookmarkEnd w:id="1511"/>
      <w:bookmarkEnd w:id="1512"/>
      <w:bookmarkEnd w:id="1513"/>
      <w:bookmarkEnd w:id="1514"/>
      <w:bookmarkEnd w:id="1515"/>
    </w:p>
    <w:p>
      <w:pPr>
        <w:pStyle w:val="124"/>
        <w:spacing w:after="120" w:line="360" w:lineRule="auto"/>
        <w:ind w:firstLine="420" w:firstLineChars="200"/>
        <w:rPr>
          <w:rFonts w:ascii="宋体" w:hAnsi="宋体"/>
          <w:color w:val="auto"/>
          <w:szCs w:val="21"/>
        </w:rPr>
      </w:pPr>
      <w:r>
        <w:rPr>
          <w:rFonts w:ascii="宋体" w:hAnsi="宋体"/>
          <w:color w:val="auto"/>
          <w:szCs w:val="21"/>
        </w:rPr>
        <w:t>6.1安全文明施工</w:t>
      </w:r>
    </w:p>
    <w:p>
      <w:pPr>
        <w:pStyle w:val="124"/>
        <w:spacing w:line="360" w:lineRule="auto"/>
        <w:ind w:firstLine="420" w:firstLineChars="200"/>
        <w:jc w:val="left"/>
        <w:rPr>
          <w:rFonts w:ascii="宋体" w:hAnsi="宋体"/>
          <w:color w:val="auto"/>
          <w:szCs w:val="21"/>
        </w:rPr>
      </w:pPr>
      <w:r>
        <w:rPr>
          <w:rFonts w:ascii="宋体" w:hAnsi="宋体"/>
          <w:color w:val="auto"/>
          <w:szCs w:val="21"/>
        </w:rPr>
        <w:t>6.1.1 项目安全生产的达标目标及相应事项的约定：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6.1.4 关于治安保卫的特别约定：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关于编制施工场地治安管理计划的约定：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hint="eastAsia" w:ascii="宋体" w:hAnsi="宋体"/>
          <w:color w:val="auto"/>
          <w:szCs w:val="21"/>
        </w:rPr>
        <w:t>6.1.5 文明施工</w:t>
      </w:r>
    </w:p>
    <w:p>
      <w:pPr>
        <w:pStyle w:val="124"/>
        <w:spacing w:line="360" w:lineRule="auto"/>
        <w:ind w:firstLine="420" w:firstLineChars="200"/>
        <w:jc w:val="left"/>
        <w:rPr>
          <w:rFonts w:ascii="宋体" w:hAnsi="宋体"/>
          <w:color w:val="auto"/>
          <w:szCs w:val="21"/>
        </w:rPr>
      </w:pPr>
      <w:r>
        <w:rPr>
          <w:rFonts w:hint="eastAsia" w:ascii="宋体" w:hAnsi="宋体"/>
          <w:color w:val="auto"/>
          <w:szCs w:val="21"/>
        </w:rPr>
        <w:t>合同当事人对文明施工的要求：</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6.1.6 关于</w:t>
      </w:r>
      <w:r>
        <w:rPr>
          <w:rFonts w:hint="eastAsia" w:ascii="宋体" w:hAnsi="宋体"/>
          <w:color w:val="auto"/>
          <w:szCs w:val="21"/>
        </w:rPr>
        <w:t>绿色施工安全防护措施费</w:t>
      </w:r>
      <w:r>
        <w:rPr>
          <w:rFonts w:ascii="宋体" w:hAnsi="宋体"/>
          <w:color w:val="auto"/>
          <w:szCs w:val="21"/>
        </w:rPr>
        <w:t>支付比例和支付期限的约定：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16" w:name="_Toc15187"/>
      <w:bookmarkStart w:id="1517" w:name="_Toc124613014"/>
      <w:bookmarkStart w:id="1518" w:name="_Toc12071"/>
      <w:bookmarkStart w:id="1519" w:name="_Toc19531"/>
      <w:bookmarkStart w:id="1520" w:name="_Toc8483"/>
      <w:bookmarkStart w:id="1521" w:name="_Toc14476"/>
      <w:bookmarkStart w:id="1522" w:name="_Toc31883"/>
      <w:bookmarkStart w:id="1523" w:name="_Toc20737"/>
      <w:bookmarkStart w:id="1524" w:name="_Toc4078406"/>
      <w:r>
        <w:rPr>
          <w:rFonts w:ascii="宋体" w:hAnsi="宋体"/>
          <w:b w:val="0"/>
          <w:color w:val="auto"/>
          <w:sz w:val="21"/>
          <w:szCs w:val="21"/>
        </w:rPr>
        <w:t>7. 工期和进度</w:t>
      </w:r>
      <w:bookmarkEnd w:id="1516"/>
      <w:bookmarkEnd w:id="1517"/>
      <w:bookmarkEnd w:id="1518"/>
      <w:bookmarkEnd w:id="1519"/>
      <w:bookmarkEnd w:id="1520"/>
      <w:bookmarkEnd w:id="1521"/>
      <w:bookmarkEnd w:id="1522"/>
      <w:bookmarkEnd w:id="1523"/>
      <w:bookmarkEnd w:id="1524"/>
    </w:p>
    <w:p>
      <w:pPr>
        <w:pStyle w:val="124"/>
        <w:spacing w:after="120" w:line="360" w:lineRule="auto"/>
        <w:ind w:firstLine="420" w:firstLineChars="200"/>
        <w:rPr>
          <w:rFonts w:ascii="宋体" w:hAnsi="宋体"/>
          <w:color w:val="auto"/>
          <w:szCs w:val="21"/>
        </w:rPr>
      </w:pPr>
      <w:r>
        <w:rPr>
          <w:rFonts w:ascii="宋体" w:hAnsi="宋体"/>
          <w:color w:val="auto"/>
          <w:szCs w:val="21"/>
        </w:rPr>
        <w:t>7.1 施工组织设计</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szCs w:val="21"/>
        </w:rPr>
        <w:t>7.1.</w:t>
      </w:r>
      <w:r>
        <w:rPr>
          <w:rFonts w:hint="eastAsia" w:ascii="宋体" w:hAnsi="宋体"/>
          <w:color w:val="auto"/>
          <w:szCs w:val="21"/>
        </w:rPr>
        <w:t>1 合</w:t>
      </w:r>
      <w:r>
        <w:rPr>
          <w:rFonts w:hint="eastAsia" w:ascii="宋体" w:hAnsi="宋体"/>
          <w:color w:val="auto"/>
          <w:kern w:val="0"/>
          <w:szCs w:val="21"/>
        </w:rPr>
        <w:t>同当事人约定的</w:t>
      </w:r>
      <w:r>
        <w:rPr>
          <w:rFonts w:ascii="宋体" w:hAnsi="宋体"/>
          <w:color w:val="auto"/>
          <w:kern w:val="0"/>
          <w:szCs w:val="21"/>
        </w:rPr>
        <w:t>施工组织设计</w:t>
      </w:r>
      <w:r>
        <w:rPr>
          <w:rFonts w:hint="eastAsia" w:ascii="宋体" w:hAnsi="宋体"/>
          <w:color w:val="auto"/>
          <w:kern w:val="0"/>
          <w:szCs w:val="21"/>
        </w:rPr>
        <w:t>应包括的其他内容</w:t>
      </w:r>
      <w:r>
        <w:rPr>
          <w:rFonts w:ascii="宋体" w:hAnsi="宋体"/>
          <w:color w:val="auto"/>
          <w:kern w:val="0"/>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szCs w:val="21"/>
        </w:rPr>
        <w:t xml:space="preserve">7.1.2 </w:t>
      </w:r>
      <w:r>
        <w:rPr>
          <w:rFonts w:ascii="宋体" w:hAnsi="宋体"/>
          <w:color w:val="auto"/>
          <w:kern w:val="0"/>
          <w:szCs w:val="21"/>
        </w:rPr>
        <w:t>施工组织设计的提交和修改</w:t>
      </w:r>
    </w:p>
    <w:p>
      <w:pPr>
        <w:pStyle w:val="124"/>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kern w:val="0"/>
          <w:szCs w:val="21"/>
        </w:rPr>
        <w:t>承包人提交详细施工组织设计的期限的约定：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发包人和监理人在收到</w:t>
      </w:r>
      <w:r>
        <w:rPr>
          <w:rFonts w:hint="eastAsia" w:ascii="宋体" w:hAnsi="宋体"/>
          <w:color w:val="auto"/>
          <w:szCs w:val="21"/>
        </w:rPr>
        <w:t>详细的施工组织设计</w:t>
      </w:r>
      <w:r>
        <w:rPr>
          <w:rFonts w:ascii="宋体" w:hAnsi="宋体"/>
          <w:color w:val="auto"/>
          <w:szCs w:val="21"/>
        </w:rPr>
        <w:t>后确认或提出修改意见的期限：</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7.2 施工进度计划</w:t>
      </w:r>
    </w:p>
    <w:p>
      <w:pPr>
        <w:pStyle w:val="124"/>
        <w:spacing w:line="360" w:lineRule="auto"/>
        <w:ind w:firstLine="420" w:firstLineChars="200"/>
        <w:jc w:val="left"/>
        <w:rPr>
          <w:rFonts w:ascii="宋体" w:hAnsi="宋体"/>
          <w:color w:val="auto"/>
          <w:szCs w:val="21"/>
        </w:rPr>
      </w:pPr>
      <w:r>
        <w:rPr>
          <w:rFonts w:ascii="宋体" w:hAnsi="宋体"/>
          <w:color w:val="auto"/>
          <w:szCs w:val="21"/>
        </w:rPr>
        <w:t>7.2.2 施工进度计划的修订</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发包人和监理人在收到修订的施工进度计划后确认或提出修改意见的期限：</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7.3 开工</w:t>
      </w:r>
    </w:p>
    <w:p>
      <w:pPr>
        <w:pStyle w:val="124"/>
        <w:spacing w:line="360" w:lineRule="auto"/>
        <w:ind w:firstLine="420" w:firstLineChars="200"/>
        <w:jc w:val="left"/>
        <w:rPr>
          <w:rFonts w:ascii="宋体" w:hAnsi="宋体"/>
          <w:color w:val="auto"/>
          <w:szCs w:val="21"/>
        </w:rPr>
      </w:pPr>
      <w:r>
        <w:rPr>
          <w:rFonts w:ascii="宋体" w:hAnsi="宋体"/>
          <w:color w:val="auto"/>
          <w:szCs w:val="21"/>
        </w:rPr>
        <w:t>7.3.1 开工准备</w:t>
      </w:r>
    </w:p>
    <w:p>
      <w:pPr>
        <w:pStyle w:val="124"/>
        <w:spacing w:line="360" w:lineRule="auto"/>
        <w:ind w:firstLine="645"/>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645"/>
        <w:jc w:val="left"/>
        <w:rPr>
          <w:rFonts w:ascii="宋体" w:hAnsi="宋体"/>
          <w:color w:val="auto"/>
          <w:szCs w:val="21"/>
        </w:rPr>
      </w:pPr>
      <w:r>
        <w:rPr>
          <w:rFonts w:ascii="宋体" w:hAnsi="宋体"/>
          <w:color w:val="auto"/>
          <w:szCs w:val="21"/>
        </w:rPr>
        <w:t>关于发包人应完成的其他开工准备工作及期限：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关于承包人应完成的其他开工准备工作及期限：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7.3.2开工通知</w:t>
      </w:r>
    </w:p>
    <w:p>
      <w:pPr>
        <w:pStyle w:val="124"/>
        <w:spacing w:line="360" w:lineRule="auto"/>
        <w:ind w:firstLine="420" w:firstLineChars="200"/>
        <w:jc w:val="left"/>
        <w:rPr>
          <w:rFonts w:ascii="宋体" w:hAnsi="宋体"/>
          <w:color w:val="auto"/>
          <w:szCs w:val="21"/>
        </w:rPr>
      </w:pPr>
      <w:r>
        <w:rPr>
          <w:rFonts w:ascii="宋体" w:hAnsi="宋体"/>
          <w:color w:val="auto"/>
          <w:szCs w:val="21"/>
        </w:rPr>
        <w:t>因发包人原因造成监理人未能在计划开工日期之日起</w:t>
      </w:r>
      <w:r>
        <w:rPr>
          <w:rFonts w:ascii="宋体" w:hAnsi="宋体"/>
          <w:color w:val="auto"/>
          <w:szCs w:val="21"/>
          <w:u w:val="single"/>
        </w:rPr>
        <w:t xml:space="preserve">     </w:t>
      </w:r>
      <w:r>
        <w:rPr>
          <w:rFonts w:ascii="宋体" w:hAnsi="宋体"/>
          <w:color w:val="auto"/>
          <w:szCs w:val="21"/>
        </w:rPr>
        <w:t>天内发出开工通知的，承包人有权提出价格调整要求，或者解除合同。</w:t>
      </w:r>
    </w:p>
    <w:p>
      <w:pPr>
        <w:pStyle w:val="124"/>
        <w:spacing w:after="120" w:line="360" w:lineRule="auto"/>
        <w:ind w:firstLine="420" w:firstLineChars="200"/>
        <w:rPr>
          <w:rFonts w:ascii="宋体" w:hAnsi="宋体"/>
          <w:color w:val="auto"/>
          <w:szCs w:val="21"/>
        </w:rPr>
      </w:pPr>
      <w:r>
        <w:rPr>
          <w:rFonts w:ascii="宋体" w:hAnsi="宋体"/>
          <w:color w:val="auto"/>
          <w:szCs w:val="21"/>
        </w:rPr>
        <w:t>7.4 测量放线</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7.4.1发包人通过监理人向承包人提供测量基准点、基准线和水准点及其书面资料的期限：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7.5 工期延误</w:t>
      </w:r>
    </w:p>
    <w:p>
      <w:pPr>
        <w:pStyle w:val="124"/>
        <w:spacing w:line="360" w:lineRule="auto"/>
        <w:ind w:firstLine="420" w:firstLineChars="200"/>
        <w:jc w:val="left"/>
        <w:rPr>
          <w:rFonts w:ascii="宋体" w:hAnsi="宋体"/>
          <w:color w:val="auto"/>
          <w:szCs w:val="21"/>
        </w:rPr>
      </w:pPr>
      <w:r>
        <w:rPr>
          <w:rFonts w:ascii="宋体" w:hAnsi="宋体"/>
          <w:color w:val="auto"/>
          <w:szCs w:val="21"/>
        </w:rPr>
        <w:t>7.5.1 因发包人原因导致工期延误</w:t>
      </w:r>
    </w:p>
    <w:p>
      <w:pPr>
        <w:pStyle w:val="124"/>
        <w:spacing w:line="360" w:lineRule="auto"/>
        <w:ind w:firstLine="420" w:firstLineChars="200"/>
        <w:jc w:val="left"/>
        <w:rPr>
          <w:rFonts w:ascii="宋体" w:hAnsi="宋体"/>
          <w:color w:val="auto"/>
          <w:szCs w:val="21"/>
        </w:rPr>
      </w:pPr>
      <w:r>
        <w:rPr>
          <w:rFonts w:ascii="宋体" w:hAnsi="宋体"/>
          <w:color w:val="auto"/>
          <w:szCs w:val="21"/>
        </w:rPr>
        <w:t>（7）因发包人原因导致工期延误的其他情形：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7.5.2 因承包人原因导致工期延误</w:t>
      </w:r>
    </w:p>
    <w:p>
      <w:pPr>
        <w:pStyle w:val="124"/>
        <w:spacing w:line="360" w:lineRule="auto"/>
        <w:ind w:firstLine="420" w:firstLineChars="200"/>
        <w:jc w:val="left"/>
        <w:rPr>
          <w:rFonts w:ascii="宋体" w:hAnsi="宋体"/>
          <w:color w:val="auto"/>
          <w:szCs w:val="21"/>
        </w:rPr>
      </w:pPr>
      <w:r>
        <w:rPr>
          <w:rFonts w:ascii="宋体" w:hAnsi="宋体"/>
          <w:color w:val="auto"/>
          <w:szCs w:val="21"/>
        </w:rPr>
        <w:t>因承包人原因造成工期延误，逾期竣工违约金的计算方法为：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因承包人原因造成工期延误，逾期竣工违约金的上限：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7.6 不利物质条件</w:t>
      </w:r>
    </w:p>
    <w:p>
      <w:pPr>
        <w:pStyle w:val="124"/>
        <w:spacing w:line="360" w:lineRule="auto"/>
        <w:ind w:firstLine="420" w:firstLineChars="200"/>
        <w:jc w:val="left"/>
        <w:rPr>
          <w:rFonts w:ascii="宋体" w:hAnsi="宋体"/>
          <w:color w:val="auto"/>
          <w:szCs w:val="21"/>
        </w:rPr>
      </w:pPr>
      <w:r>
        <w:rPr>
          <w:rFonts w:ascii="宋体" w:hAnsi="宋体"/>
          <w:color w:val="auto"/>
          <w:szCs w:val="21"/>
        </w:rPr>
        <w:t>不利物质条件的其他情形和有关约定：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7.7异常恶劣的气候条件</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pPr>
        <w:pStyle w:val="124"/>
        <w:spacing w:line="360" w:lineRule="auto"/>
        <w:ind w:firstLine="420" w:firstLineChars="200"/>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（3）</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7.9 提前竣工的奖励</w:t>
      </w:r>
    </w:p>
    <w:p>
      <w:pPr>
        <w:pStyle w:val="124"/>
        <w:spacing w:line="360" w:lineRule="auto"/>
        <w:ind w:firstLine="420" w:firstLineChars="200"/>
        <w:jc w:val="left"/>
        <w:rPr>
          <w:rFonts w:ascii="宋体" w:hAnsi="宋体"/>
          <w:color w:val="auto"/>
          <w:szCs w:val="21"/>
        </w:rPr>
      </w:pPr>
      <w:r>
        <w:rPr>
          <w:rFonts w:ascii="宋体" w:hAnsi="宋体"/>
          <w:color w:val="auto"/>
          <w:szCs w:val="21"/>
        </w:rPr>
        <w:t>7.9.2提前竣工的奖励：</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25" w:name="_Toc2870"/>
      <w:bookmarkStart w:id="1526" w:name="_Toc7561"/>
      <w:bookmarkStart w:id="1527" w:name="_Toc28289"/>
      <w:bookmarkStart w:id="1528" w:name="_Toc5311"/>
      <w:bookmarkStart w:id="1529" w:name="_Toc29317"/>
      <w:bookmarkStart w:id="1530" w:name="_Toc15165"/>
      <w:bookmarkStart w:id="1531" w:name="_Toc124613015"/>
      <w:bookmarkStart w:id="1532" w:name="_Toc4078407"/>
      <w:bookmarkStart w:id="1533" w:name="_Toc22382"/>
      <w:r>
        <w:rPr>
          <w:rFonts w:ascii="宋体" w:hAnsi="宋体"/>
          <w:b w:val="0"/>
          <w:color w:val="auto"/>
          <w:sz w:val="21"/>
          <w:szCs w:val="21"/>
        </w:rPr>
        <w:t>8. 材料与设备</w:t>
      </w:r>
      <w:bookmarkEnd w:id="1525"/>
      <w:bookmarkEnd w:id="1526"/>
      <w:bookmarkEnd w:id="1527"/>
      <w:bookmarkEnd w:id="1528"/>
      <w:bookmarkEnd w:id="1529"/>
      <w:bookmarkEnd w:id="1530"/>
      <w:bookmarkEnd w:id="1531"/>
      <w:bookmarkEnd w:id="1532"/>
      <w:bookmarkEnd w:id="1533"/>
    </w:p>
    <w:p>
      <w:pPr>
        <w:pStyle w:val="124"/>
        <w:spacing w:after="120" w:line="360" w:lineRule="auto"/>
        <w:ind w:firstLine="420" w:firstLineChars="200"/>
        <w:rPr>
          <w:rFonts w:ascii="宋体" w:hAnsi="宋体"/>
          <w:color w:val="auto"/>
          <w:szCs w:val="21"/>
        </w:rPr>
      </w:pPr>
      <w:r>
        <w:rPr>
          <w:rFonts w:ascii="宋体" w:hAnsi="宋体"/>
          <w:color w:val="auto"/>
          <w:szCs w:val="21"/>
        </w:rPr>
        <w:t>8.4材料与工程设备的保管与使用</w:t>
      </w:r>
    </w:p>
    <w:p>
      <w:pPr>
        <w:pStyle w:val="124"/>
        <w:spacing w:line="360" w:lineRule="auto"/>
        <w:ind w:firstLine="420" w:firstLineChars="200"/>
        <w:jc w:val="left"/>
        <w:rPr>
          <w:rFonts w:ascii="宋体" w:hAnsi="宋体"/>
          <w:color w:val="auto"/>
          <w:szCs w:val="21"/>
        </w:rPr>
      </w:pPr>
      <w:r>
        <w:rPr>
          <w:rFonts w:ascii="宋体" w:hAnsi="宋体"/>
          <w:color w:val="auto"/>
          <w:szCs w:val="21"/>
        </w:rPr>
        <w:t>8.4.1发包人供应的材料设备的保管费用的承担：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8.6 样品</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8.6.1</w:t>
      </w:r>
      <w:r>
        <w:rPr>
          <w:rFonts w:ascii="宋体" w:hAnsi="宋体"/>
          <w:color w:val="auto"/>
          <w:kern w:val="0"/>
          <w:szCs w:val="21"/>
        </w:rPr>
        <w:tab/>
      </w:r>
      <w:r>
        <w:rPr>
          <w:rFonts w:ascii="宋体" w:hAnsi="宋体"/>
          <w:color w:val="auto"/>
          <w:kern w:val="0"/>
          <w:szCs w:val="21"/>
        </w:rPr>
        <w:t>样品的报送</w:t>
      </w:r>
      <w:r>
        <w:rPr>
          <w:rFonts w:hint="eastAsia" w:ascii="宋体" w:hAnsi="宋体"/>
          <w:color w:val="auto"/>
          <w:kern w:val="0"/>
          <w:szCs w:val="21"/>
        </w:rPr>
        <w:t>与封存</w:t>
      </w:r>
    </w:p>
    <w:p>
      <w:pPr>
        <w:pStyle w:val="124"/>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需要承包人报送样品的材料或工程设备，样品的种类、名称、规格、数量要求：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24"/>
        <w:autoSpaceDE w:val="0"/>
        <w:autoSpaceDN w:val="0"/>
        <w:adjustRightInd w:val="0"/>
        <w:spacing w:line="360" w:lineRule="auto"/>
        <w:jc w:val="left"/>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8.8 施工设备和临时设施</w:t>
      </w:r>
    </w:p>
    <w:p>
      <w:pPr>
        <w:pStyle w:val="124"/>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8.8.1 承包人提供的施工设备和临时设施</w:t>
      </w:r>
    </w:p>
    <w:p>
      <w:pPr>
        <w:pStyle w:val="124"/>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关于修建临时设施费用承担的约定：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34" w:name="_Toc9265"/>
      <w:bookmarkStart w:id="1535" w:name="_Toc18161"/>
      <w:bookmarkStart w:id="1536" w:name="_Toc124613016"/>
      <w:bookmarkStart w:id="1537" w:name="_Toc4078408"/>
      <w:bookmarkStart w:id="1538" w:name="_Toc29622"/>
      <w:bookmarkStart w:id="1539" w:name="_Toc12994"/>
      <w:bookmarkStart w:id="1540" w:name="_Toc20986"/>
      <w:bookmarkStart w:id="1541" w:name="_Toc7091"/>
      <w:bookmarkStart w:id="1542" w:name="_Toc1366"/>
      <w:r>
        <w:rPr>
          <w:rFonts w:ascii="宋体" w:hAnsi="宋体"/>
          <w:b w:val="0"/>
          <w:color w:val="auto"/>
          <w:sz w:val="21"/>
          <w:szCs w:val="21"/>
        </w:rPr>
        <w:t>9. 试验与检验</w:t>
      </w:r>
      <w:bookmarkEnd w:id="1534"/>
      <w:bookmarkEnd w:id="1535"/>
      <w:bookmarkEnd w:id="1536"/>
      <w:bookmarkEnd w:id="1537"/>
      <w:bookmarkEnd w:id="1538"/>
      <w:bookmarkEnd w:id="1539"/>
      <w:bookmarkEnd w:id="1540"/>
      <w:bookmarkEnd w:id="1541"/>
      <w:bookmarkEnd w:id="1542"/>
    </w:p>
    <w:p>
      <w:pPr>
        <w:pStyle w:val="124"/>
        <w:spacing w:after="120" w:line="360" w:lineRule="auto"/>
        <w:ind w:firstLine="420" w:firstLineChars="200"/>
        <w:rPr>
          <w:rFonts w:ascii="宋体" w:hAnsi="宋体"/>
          <w:color w:val="auto"/>
          <w:szCs w:val="21"/>
        </w:rPr>
      </w:pPr>
      <w:r>
        <w:rPr>
          <w:rFonts w:ascii="宋体" w:hAnsi="宋体"/>
          <w:color w:val="auto"/>
          <w:szCs w:val="21"/>
        </w:rPr>
        <w:t>9.1试验设备与试验人员</w:t>
      </w:r>
    </w:p>
    <w:p>
      <w:pPr>
        <w:pStyle w:val="124"/>
        <w:spacing w:line="360" w:lineRule="auto"/>
        <w:ind w:firstLine="420" w:firstLineChars="200"/>
        <w:jc w:val="left"/>
        <w:rPr>
          <w:rFonts w:ascii="宋体" w:hAnsi="宋体"/>
          <w:color w:val="auto"/>
          <w:szCs w:val="21"/>
        </w:rPr>
      </w:pPr>
      <w:r>
        <w:rPr>
          <w:rFonts w:ascii="宋体" w:hAnsi="宋体"/>
          <w:color w:val="auto"/>
          <w:szCs w:val="21"/>
        </w:rPr>
        <w:t>9.1.2 试验设备</w:t>
      </w:r>
    </w:p>
    <w:p>
      <w:pPr>
        <w:pStyle w:val="124"/>
        <w:spacing w:line="360" w:lineRule="auto"/>
        <w:ind w:firstLine="420" w:firstLineChars="200"/>
        <w:jc w:val="left"/>
        <w:rPr>
          <w:rFonts w:ascii="宋体" w:hAnsi="宋体"/>
          <w:color w:val="auto"/>
          <w:szCs w:val="21"/>
        </w:rPr>
      </w:pPr>
      <w:r>
        <w:rPr>
          <w:rFonts w:ascii="宋体" w:hAnsi="宋体"/>
          <w:color w:val="auto"/>
          <w:szCs w:val="21"/>
        </w:rPr>
        <w:t>施工现场需要配置的试验场所：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施工现场需要配备的试验设备：</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施工现场需要具备的其他试验条件：</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9.4 现场工艺试验</w:t>
      </w:r>
      <w:r>
        <w:rPr>
          <w:rFonts w:hint="eastAsia"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现场工艺试验的有关约定：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43" w:name="_Toc124613017"/>
      <w:bookmarkStart w:id="1544" w:name="_Toc4078409"/>
      <w:bookmarkStart w:id="1545" w:name="_Toc14532"/>
      <w:bookmarkStart w:id="1546" w:name="_Toc23477"/>
      <w:bookmarkStart w:id="1547" w:name="_Toc11153"/>
      <w:bookmarkStart w:id="1548" w:name="_Toc210"/>
      <w:bookmarkStart w:id="1549" w:name="_Toc1814"/>
      <w:bookmarkStart w:id="1550" w:name="_Toc27247"/>
      <w:bookmarkStart w:id="1551" w:name="_Toc22105"/>
      <w:r>
        <w:rPr>
          <w:rFonts w:ascii="宋体" w:hAnsi="宋体"/>
          <w:b w:val="0"/>
          <w:color w:val="auto"/>
          <w:sz w:val="21"/>
          <w:szCs w:val="21"/>
        </w:rPr>
        <w:t>10. 变更</w:t>
      </w:r>
      <w:bookmarkEnd w:id="1543"/>
      <w:bookmarkEnd w:id="1544"/>
      <w:bookmarkEnd w:id="1545"/>
      <w:bookmarkEnd w:id="1546"/>
      <w:bookmarkEnd w:id="1547"/>
      <w:bookmarkEnd w:id="1548"/>
      <w:bookmarkEnd w:id="1549"/>
      <w:bookmarkEnd w:id="1550"/>
      <w:bookmarkEnd w:id="1551"/>
    </w:p>
    <w:p>
      <w:pPr>
        <w:pStyle w:val="124"/>
        <w:spacing w:after="120" w:line="360" w:lineRule="auto"/>
        <w:ind w:firstLine="420" w:firstLineChars="200"/>
        <w:rPr>
          <w:rFonts w:ascii="宋体" w:hAnsi="宋体"/>
          <w:color w:val="auto"/>
          <w:szCs w:val="21"/>
        </w:rPr>
      </w:pPr>
      <w:r>
        <w:rPr>
          <w:rFonts w:ascii="宋体" w:hAnsi="宋体"/>
          <w:color w:val="auto"/>
          <w:szCs w:val="21"/>
        </w:rPr>
        <w:t>10.1变更的范围</w:t>
      </w:r>
    </w:p>
    <w:p>
      <w:pPr>
        <w:pStyle w:val="124"/>
        <w:spacing w:line="360" w:lineRule="auto"/>
        <w:ind w:firstLine="600"/>
        <w:jc w:val="left"/>
        <w:rPr>
          <w:rFonts w:ascii="宋体" w:hAnsi="宋体"/>
          <w:color w:val="auto"/>
          <w:szCs w:val="21"/>
        </w:rPr>
      </w:pPr>
      <w:r>
        <w:rPr>
          <w:rFonts w:ascii="宋体" w:hAnsi="宋体"/>
          <w:color w:val="auto"/>
          <w:szCs w:val="21"/>
        </w:rPr>
        <w:t>关于变更的范围的约定：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10.4 变更估价</w:t>
      </w:r>
    </w:p>
    <w:p>
      <w:pPr>
        <w:pStyle w:val="124"/>
        <w:spacing w:line="360" w:lineRule="auto"/>
        <w:ind w:firstLine="420" w:firstLineChars="200"/>
        <w:jc w:val="left"/>
        <w:rPr>
          <w:rFonts w:ascii="宋体" w:hAnsi="宋体"/>
          <w:color w:val="auto"/>
          <w:szCs w:val="21"/>
        </w:rPr>
      </w:pPr>
      <w:r>
        <w:rPr>
          <w:rFonts w:hint="eastAsia" w:ascii="宋体" w:hAnsi="宋体"/>
          <w:color w:val="auto"/>
          <w:szCs w:val="21"/>
        </w:rPr>
        <w:t>10.4.1 变更估价原则</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关于变更估价的约定</w:t>
      </w:r>
      <w:r>
        <w:rPr>
          <w:rFonts w:hint="eastAsia" w:ascii="宋体" w:hAnsi="宋体"/>
          <w:color w:val="auto"/>
          <w:szCs w:val="21"/>
        </w:rPr>
        <w:t>：</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10.5承包人的合理化建议</w:t>
      </w:r>
    </w:p>
    <w:p>
      <w:pPr>
        <w:pStyle w:val="124"/>
        <w:spacing w:line="360" w:lineRule="auto"/>
        <w:ind w:firstLine="420" w:firstLineChars="200"/>
        <w:jc w:val="left"/>
        <w:rPr>
          <w:rFonts w:ascii="宋体" w:hAnsi="宋体"/>
          <w:color w:val="auto"/>
          <w:szCs w:val="21"/>
        </w:rPr>
      </w:pPr>
      <w:r>
        <w:rPr>
          <w:rFonts w:ascii="宋体" w:hAnsi="宋体"/>
          <w:color w:val="auto"/>
          <w:szCs w:val="21"/>
        </w:rPr>
        <w:t>监理人审查承包人合理化建议的期限：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发包人审批承包人合理化建议的期限：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承包人提出的合理化建议降低了合同价格或者提高了工程经济效益的奖励的方法和金额为：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24"/>
        <w:spacing w:line="360" w:lineRule="auto"/>
        <w:jc w:val="left"/>
        <w:rPr>
          <w:rFonts w:ascii="宋体" w:hAnsi="宋体"/>
          <w:color w:val="auto"/>
          <w:szCs w:val="21"/>
          <w:u w:val="single"/>
        </w:rPr>
      </w:pP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10.7 暂估价</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暂估价材料和工程设备的明细详见附件</w:t>
      </w:r>
      <w:r>
        <w:rPr>
          <w:rFonts w:hint="eastAsia" w:ascii="宋体" w:hAnsi="宋体"/>
          <w:color w:val="auto"/>
          <w:kern w:val="0"/>
          <w:szCs w:val="21"/>
        </w:rPr>
        <w:t>11：《</w:t>
      </w:r>
      <w:r>
        <w:rPr>
          <w:rFonts w:ascii="宋体" w:hAnsi="宋体"/>
          <w:color w:val="auto"/>
          <w:szCs w:val="21"/>
        </w:rPr>
        <w:t>暂估价一览表</w:t>
      </w:r>
      <w:r>
        <w:rPr>
          <w:rFonts w:hint="eastAsia" w:ascii="宋体" w:hAnsi="宋体"/>
          <w:color w:val="auto"/>
          <w:szCs w:val="21"/>
        </w:rPr>
        <w:t>》</w:t>
      </w:r>
      <w:r>
        <w:rPr>
          <w:rFonts w:hint="eastAsia" w:ascii="宋体" w:hAnsi="宋体"/>
          <w:color w:val="auto"/>
          <w:kern w:val="0"/>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10.7.1 依法必须招标的暂估价项目</w:t>
      </w:r>
    </w:p>
    <w:p>
      <w:pPr>
        <w:pStyle w:val="124"/>
        <w:spacing w:line="360" w:lineRule="auto"/>
        <w:ind w:firstLine="420" w:firstLineChars="200"/>
        <w:jc w:val="left"/>
        <w:rPr>
          <w:rFonts w:ascii="宋体" w:hAnsi="宋体"/>
          <w:color w:val="auto"/>
          <w:szCs w:val="21"/>
        </w:rPr>
      </w:pPr>
      <w:r>
        <w:rPr>
          <w:rFonts w:ascii="宋体" w:hAnsi="宋体"/>
          <w:color w:val="auto"/>
          <w:szCs w:val="21"/>
        </w:rPr>
        <w:t>对于依法必须招标的暂估价项目的确认和批准采取第</w:t>
      </w:r>
      <w:r>
        <w:rPr>
          <w:rFonts w:ascii="宋体" w:hAnsi="宋体"/>
          <w:color w:val="auto"/>
          <w:szCs w:val="21"/>
          <w:u w:val="single"/>
        </w:rPr>
        <w:t xml:space="preserve">    </w:t>
      </w:r>
      <w:r>
        <w:rPr>
          <w:rFonts w:ascii="宋体" w:hAnsi="宋体"/>
          <w:color w:val="auto"/>
          <w:szCs w:val="21"/>
        </w:rPr>
        <w:t>种方式确定。</w:t>
      </w:r>
    </w:p>
    <w:p>
      <w:pPr>
        <w:pStyle w:val="124"/>
        <w:spacing w:line="360" w:lineRule="auto"/>
        <w:ind w:firstLine="420" w:firstLineChars="200"/>
        <w:jc w:val="left"/>
        <w:rPr>
          <w:rFonts w:ascii="宋体" w:hAnsi="宋体"/>
          <w:color w:val="auto"/>
          <w:szCs w:val="21"/>
        </w:rPr>
      </w:pPr>
      <w:r>
        <w:rPr>
          <w:rFonts w:ascii="宋体" w:hAnsi="宋体"/>
          <w:color w:val="auto"/>
          <w:szCs w:val="21"/>
        </w:rPr>
        <w:t>10.7.2 不属于依法必须招标的暂估价项目</w:t>
      </w:r>
    </w:p>
    <w:p>
      <w:pPr>
        <w:pStyle w:val="124"/>
        <w:spacing w:line="360" w:lineRule="auto"/>
        <w:ind w:firstLine="420" w:firstLineChars="200"/>
        <w:jc w:val="left"/>
        <w:rPr>
          <w:rFonts w:ascii="宋体" w:hAnsi="宋体"/>
          <w:color w:val="auto"/>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ascii="宋体" w:hAnsi="宋体"/>
          <w:color w:val="auto"/>
          <w:szCs w:val="21"/>
        </w:rPr>
        <w:t xml:space="preserve"> 种方式确定。</w:t>
      </w:r>
    </w:p>
    <w:p>
      <w:pPr>
        <w:pStyle w:val="124"/>
        <w:spacing w:line="360" w:lineRule="auto"/>
        <w:ind w:firstLine="420" w:firstLineChars="200"/>
        <w:jc w:val="lef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承包人直接实施的暂估价项目的约定：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10.8 暂列金额</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合同当事人关于暂列金额使用的约定：</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kern w:val="0"/>
          <w:szCs w:val="21"/>
        </w:rPr>
        <w:t>。</w:t>
      </w:r>
    </w:p>
    <w:p>
      <w:pPr>
        <w:pStyle w:val="136"/>
        <w:spacing w:before="120" w:after="120" w:line="360" w:lineRule="auto"/>
        <w:outlineLvl w:val="2"/>
        <w:rPr>
          <w:rFonts w:ascii="宋体" w:hAnsi="宋体"/>
          <w:b w:val="0"/>
          <w:color w:val="auto"/>
          <w:sz w:val="21"/>
          <w:szCs w:val="21"/>
        </w:rPr>
      </w:pPr>
      <w:bookmarkStart w:id="1552" w:name="_Toc889"/>
      <w:bookmarkStart w:id="1553" w:name="_Toc22486"/>
      <w:bookmarkStart w:id="1554" w:name="_Toc14621"/>
      <w:bookmarkStart w:id="1555" w:name="_Toc4078410"/>
      <w:bookmarkStart w:id="1556" w:name="_Toc5010"/>
      <w:bookmarkStart w:id="1557" w:name="_Toc124613018"/>
      <w:bookmarkStart w:id="1558" w:name="_Toc4724"/>
      <w:bookmarkStart w:id="1559" w:name="_Toc260"/>
      <w:bookmarkStart w:id="1560" w:name="_Toc21965"/>
      <w:r>
        <w:rPr>
          <w:rFonts w:ascii="宋体" w:hAnsi="宋体"/>
          <w:b w:val="0"/>
          <w:color w:val="auto"/>
          <w:sz w:val="21"/>
          <w:szCs w:val="21"/>
        </w:rPr>
        <w:t>11. 价格调整</w:t>
      </w:r>
      <w:bookmarkEnd w:id="1552"/>
      <w:bookmarkEnd w:id="1553"/>
      <w:bookmarkEnd w:id="1554"/>
      <w:bookmarkEnd w:id="1555"/>
      <w:bookmarkEnd w:id="1556"/>
      <w:bookmarkEnd w:id="1557"/>
      <w:bookmarkEnd w:id="1558"/>
      <w:bookmarkEnd w:id="1559"/>
      <w:bookmarkEnd w:id="1560"/>
    </w:p>
    <w:p>
      <w:pPr>
        <w:pStyle w:val="124"/>
        <w:spacing w:after="120" w:line="360" w:lineRule="auto"/>
        <w:ind w:firstLine="420" w:firstLineChars="200"/>
        <w:rPr>
          <w:rFonts w:ascii="宋体" w:hAnsi="宋体"/>
          <w:color w:val="auto"/>
          <w:szCs w:val="21"/>
        </w:rPr>
      </w:pPr>
      <w:r>
        <w:rPr>
          <w:rFonts w:ascii="宋体" w:hAnsi="宋体"/>
          <w:color w:val="auto"/>
          <w:szCs w:val="21"/>
        </w:rPr>
        <w:t>11.1 市场价格波动引起的调整</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市场价格波动是否调整合同价格的约定：</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因市场价格波动调整合同价格，采用以下第</w:t>
      </w:r>
      <w:r>
        <w:rPr>
          <w:rFonts w:ascii="宋体" w:hAnsi="宋体"/>
          <w:color w:val="auto"/>
          <w:szCs w:val="21"/>
          <w:u w:val="single"/>
        </w:rPr>
        <w:t xml:space="preserve">    </w:t>
      </w:r>
      <w:r>
        <w:rPr>
          <w:rFonts w:ascii="宋体" w:hAnsi="宋体"/>
          <w:color w:val="auto"/>
          <w:szCs w:val="21"/>
        </w:rPr>
        <w:t>种方式对合同价格进行调整：</w:t>
      </w:r>
    </w:p>
    <w:p>
      <w:pPr>
        <w:pStyle w:val="124"/>
        <w:spacing w:line="360" w:lineRule="auto"/>
        <w:ind w:firstLine="420" w:firstLineChars="200"/>
        <w:jc w:val="left"/>
        <w:rPr>
          <w:rFonts w:ascii="宋体" w:hAnsi="宋体"/>
          <w:color w:val="auto"/>
          <w:szCs w:val="21"/>
        </w:rPr>
      </w:pPr>
      <w:r>
        <w:rPr>
          <w:rFonts w:ascii="宋体" w:hAnsi="宋体"/>
          <w:color w:val="auto"/>
          <w:szCs w:val="21"/>
        </w:rPr>
        <w:t>第1种方式：采用价格指数</w:t>
      </w:r>
      <w:r>
        <w:rPr>
          <w:rFonts w:hint="eastAsia" w:ascii="宋体" w:hAnsi="宋体"/>
          <w:color w:val="auto"/>
          <w:szCs w:val="21"/>
        </w:rPr>
        <w:t>进行价格</w:t>
      </w:r>
      <w:r>
        <w:rPr>
          <w:rFonts w:ascii="宋体" w:hAnsi="宋体"/>
          <w:color w:val="auto"/>
          <w:szCs w:val="21"/>
        </w:rPr>
        <w:t>调整。</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ascii="宋体" w:hAnsi="宋体"/>
          <w:color w:val="auto"/>
          <w:szCs w:val="21"/>
          <w:u w:val="single"/>
        </w:rPr>
        <w:t xml:space="preserve">                    </w:t>
      </w:r>
      <w:r>
        <w:rPr>
          <w:rFonts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第2种方式：采用造价信息</w:t>
      </w:r>
      <w:r>
        <w:rPr>
          <w:rFonts w:hint="eastAsia" w:ascii="宋体" w:hAnsi="宋体"/>
          <w:color w:val="auto"/>
          <w:szCs w:val="21"/>
        </w:rPr>
        <w:t>进行价格</w:t>
      </w:r>
      <w:r>
        <w:rPr>
          <w:rFonts w:ascii="宋体" w:hAnsi="宋体"/>
          <w:color w:val="auto"/>
          <w:szCs w:val="21"/>
        </w:rPr>
        <w:t>调整。</w:t>
      </w:r>
    </w:p>
    <w:p>
      <w:pPr>
        <w:pStyle w:val="124"/>
        <w:spacing w:line="360" w:lineRule="auto"/>
        <w:ind w:firstLine="420" w:firstLineChars="200"/>
        <w:jc w:val="left"/>
        <w:rPr>
          <w:rFonts w:ascii="宋体" w:hAnsi="宋体"/>
          <w:color w:val="auto"/>
          <w:szCs w:val="21"/>
        </w:rPr>
      </w:pPr>
      <w:r>
        <w:rPr>
          <w:rFonts w:ascii="宋体" w:hAnsi="宋体"/>
          <w:color w:val="auto"/>
          <w:szCs w:val="21"/>
        </w:rPr>
        <w:t>（2）关于基准价格的约定：</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专用合同条款</w:t>
      </w:r>
      <w:r>
        <w:rPr>
          <w:rFonts w:hint="eastAsia" w:ascii="宋体" w:hAnsi="宋体" w:cs="宋体"/>
          <w:color w:val="auto"/>
          <w:szCs w:val="21"/>
        </w:rPr>
        <w:t>①</w:t>
      </w:r>
      <w:r>
        <w:rPr>
          <w:rFonts w:ascii="宋体" w:hAnsi="宋体"/>
          <w:color w:val="auto"/>
          <w:szCs w:val="21"/>
        </w:rPr>
        <w:t>承包人在已标价工程量清单或预算书中载明的材料单价低于基准价格的：专用合同条款合同履行期间材料单价涨幅以基准价格为基础超过</w:t>
      </w:r>
      <w:r>
        <w:rPr>
          <w:rFonts w:ascii="宋体" w:hAnsi="宋体"/>
          <w:color w:val="auto"/>
          <w:szCs w:val="21"/>
          <w:u w:val="single"/>
        </w:rPr>
        <w:t xml:space="preserve">   </w:t>
      </w:r>
      <w:r>
        <w:rPr>
          <w:rFonts w:ascii="宋体" w:hAnsi="宋体"/>
          <w:color w:val="auto"/>
          <w:szCs w:val="21"/>
        </w:rPr>
        <w:t>%时，或材料单价跌幅以已标价工程量清单或预算书中载明材料单价为基础超过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pStyle w:val="124"/>
        <w:spacing w:line="360" w:lineRule="auto"/>
        <w:ind w:firstLine="420" w:firstLineChars="200"/>
        <w:jc w:val="left"/>
        <w:rPr>
          <w:rFonts w:ascii="宋体" w:hAnsi="宋体"/>
          <w:color w:val="auto"/>
          <w:szCs w:val="21"/>
        </w:rPr>
      </w:pPr>
      <w:r>
        <w:rPr>
          <w:rFonts w:hint="eastAsia" w:ascii="宋体" w:hAnsi="宋体" w:cs="宋体"/>
          <w:color w:val="auto"/>
          <w:szCs w:val="21"/>
        </w:rPr>
        <w:t>②</w:t>
      </w:r>
      <w:r>
        <w:rPr>
          <w:rFonts w:ascii="宋体" w:hAnsi="宋体"/>
          <w:color w:val="auto"/>
          <w:szCs w:val="21"/>
        </w:rPr>
        <w:t>承包人在已标价工程量清单或预算书中载明的材料单价高于基准价格的：专用合同条款合同履行期间材料单价跌幅以基准价格为基础超过</w:t>
      </w:r>
      <w:r>
        <w:rPr>
          <w:rFonts w:ascii="宋体" w:hAnsi="宋体"/>
          <w:color w:val="auto"/>
          <w:szCs w:val="21"/>
          <w:u w:val="single"/>
        </w:rPr>
        <w:t xml:space="preserve">   </w:t>
      </w:r>
      <w:r>
        <w:rPr>
          <w:rFonts w:ascii="宋体" w:hAnsi="宋体"/>
          <w:color w:val="auto"/>
          <w:szCs w:val="21"/>
        </w:rPr>
        <w:t>%时，材料单价涨幅以已标价工程量清单或预算书中载明材料单价为基础超过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pStyle w:val="124"/>
        <w:spacing w:line="360" w:lineRule="auto"/>
        <w:ind w:firstLine="420"/>
        <w:jc w:val="left"/>
        <w:rPr>
          <w:rFonts w:ascii="宋体" w:hAnsi="宋体"/>
          <w:color w:val="auto"/>
          <w:szCs w:val="21"/>
        </w:rPr>
      </w:pPr>
      <w:r>
        <w:rPr>
          <w:rFonts w:hint="eastAsia" w:ascii="宋体" w:hAnsi="宋体" w:cs="宋体"/>
          <w:color w:val="auto"/>
          <w:szCs w:val="21"/>
        </w:rPr>
        <w:t>③</w:t>
      </w:r>
      <w:r>
        <w:rPr>
          <w:rFonts w:ascii="宋体" w:hAnsi="宋体"/>
          <w:color w:val="auto"/>
          <w:szCs w:val="21"/>
        </w:rPr>
        <w:t>承包人在已标价工程量清单或预算书中载明的材料单价等于基准单价的：专用合同条款合同履行期间材料单价涨跌幅以基准单价为基础超过±</w:t>
      </w:r>
      <w:r>
        <w:rPr>
          <w:rFonts w:ascii="宋体" w:hAnsi="宋体"/>
          <w:color w:val="auto"/>
          <w:szCs w:val="21"/>
          <w:u w:val="single"/>
        </w:rPr>
        <w:t xml:space="preserve">   </w:t>
      </w:r>
      <w:r>
        <w:rPr>
          <w:rFonts w:ascii="宋体" w:hAnsi="宋体"/>
          <w:color w:val="auto"/>
          <w:szCs w:val="21"/>
        </w:rPr>
        <w:t>%时，其超过部分据实调整。</w:t>
      </w:r>
    </w:p>
    <w:p>
      <w:pPr>
        <w:pStyle w:val="124"/>
        <w:spacing w:line="360" w:lineRule="auto"/>
        <w:ind w:firstLine="420"/>
        <w:jc w:val="left"/>
        <w:rPr>
          <w:rFonts w:ascii="宋体" w:hAnsi="宋体"/>
          <w:color w:val="auto"/>
          <w:szCs w:val="21"/>
        </w:rPr>
      </w:pPr>
      <w:r>
        <w:rPr>
          <w:rFonts w:ascii="宋体" w:hAnsi="宋体"/>
          <w:color w:val="auto"/>
          <w:szCs w:val="21"/>
        </w:rPr>
        <w:t>第3种方式：其他价格调整方式：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61" w:name="_Toc25005"/>
      <w:bookmarkStart w:id="1562" w:name="_Toc17645"/>
      <w:bookmarkStart w:id="1563" w:name="_Toc124613019"/>
      <w:bookmarkStart w:id="1564" w:name="_Toc17267"/>
      <w:bookmarkStart w:id="1565" w:name="_Toc4078411"/>
      <w:bookmarkStart w:id="1566" w:name="_Toc26711"/>
      <w:bookmarkStart w:id="1567" w:name="_Toc12615"/>
      <w:bookmarkStart w:id="1568" w:name="_Toc19528"/>
      <w:bookmarkStart w:id="1569" w:name="_Toc1318"/>
      <w:r>
        <w:rPr>
          <w:rFonts w:ascii="宋体" w:hAnsi="宋体"/>
          <w:b w:val="0"/>
          <w:color w:val="auto"/>
          <w:sz w:val="21"/>
          <w:szCs w:val="21"/>
        </w:rPr>
        <w:t>12. 合同价格、计量与支付</w:t>
      </w:r>
      <w:bookmarkEnd w:id="1561"/>
      <w:bookmarkEnd w:id="1562"/>
      <w:bookmarkEnd w:id="1563"/>
      <w:bookmarkEnd w:id="1564"/>
      <w:bookmarkEnd w:id="1565"/>
      <w:bookmarkEnd w:id="1566"/>
      <w:bookmarkEnd w:id="1567"/>
      <w:bookmarkEnd w:id="1568"/>
      <w:bookmarkEnd w:id="1569"/>
    </w:p>
    <w:p>
      <w:pPr>
        <w:pStyle w:val="124"/>
        <w:spacing w:after="120" w:line="360" w:lineRule="auto"/>
        <w:ind w:firstLine="420" w:firstLineChars="200"/>
        <w:rPr>
          <w:rFonts w:ascii="宋体" w:hAnsi="宋体"/>
          <w:color w:val="auto"/>
          <w:szCs w:val="21"/>
        </w:rPr>
      </w:pPr>
      <w:r>
        <w:rPr>
          <w:rFonts w:ascii="宋体" w:hAnsi="宋体"/>
          <w:color w:val="auto"/>
          <w:szCs w:val="21"/>
        </w:rPr>
        <w:t>12.1 合同价格形式</w:t>
      </w:r>
    </w:p>
    <w:p>
      <w:pPr>
        <w:pStyle w:val="124"/>
        <w:spacing w:line="360" w:lineRule="auto"/>
        <w:ind w:firstLine="420" w:firstLineChars="200"/>
        <w:jc w:val="left"/>
        <w:rPr>
          <w:rFonts w:ascii="宋体" w:hAnsi="宋体"/>
          <w:color w:val="auto"/>
          <w:szCs w:val="21"/>
        </w:rPr>
      </w:pPr>
      <w:r>
        <w:rPr>
          <w:rFonts w:ascii="宋体" w:hAnsi="宋体"/>
          <w:color w:val="auto"/>
          <w:szCs w:val="21"/>
        </w:rPr>
        <w:t>1、单价合同。</w:t>
      </w:r>
    </w:p>
    <w:p>
      <w:pPr>
        <w:pStyle w:val="124"/>
        <w:spacing w:line="360" w:lineRule="auto"/>
        <w:ind w:firstLine="420" w:firstLineChars="200"/>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2、总价合同。</w:t>
      </w:r>
    </w:p>
    <w:p>
      <w:pPr>
        <w:pStyle w:val="124"/>
        <w:spacing w:line="360" w:lineRule="auto"/>
        <w:ind w:firstLine="420" w:firstLineChars="200"/>
        <w:jc w:val="left"/>
        <w:rPr>
          <w:rFonts w:ascii="宋体" w:hAnsi="宋体"/>
          <w:color w:val="auto"/>
          <w:szCs w:val="21"/>
        </w:rPr>
      </w:pPr>
      <w:r>
        <w:rPr>
          <w:rFonts w:ascii="宋体" w:hAnsi="宋体"/>
          <w:color w:val="auto"/>
          <w:szCs w:val="21"/>
        </w:rPr>
        <w:t>总价包含的风险范围：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3、其他价格方式：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12.2 预付款</w:t>
      </w:r>
    </w:p>
    <w:p>
      <w:pPr>
        <w:pStyle w:val="124"/>
        <w:spacing w:line="360" w:lineRule="auto"/>
        <w:ind w:firstLine="420" w:firstLineChars="200"/>
        <w:jc w:val="left"/>
        <w:rPr>
          <w:rFonts w:ascii="宋体" w:hAnsi="宋体"/>
          <w:color w:val="auto"/>
          <w:szCs w:val="21"/>
        </w:rPr>
      </w:pPr>
      <w:r>
        <w:rPr>
          <w:rFonts w:ascii="宋体" w:hAnsi="宋体"/>
          <w:color w:val="auto"/>
          <w:szCs w:val="21"/>
        </w:rPr>
        <w:t>12.2.1 预付款的支付</w:t>
      </w:r>
    </w:p>
    <w:p>
      <w:pPr>
        <w:pStyle w:val="124"/>
        <w:spacing w:line="360" w:lineRule="auto"/>
        <w:ind w:firstLine="420" w:firstLineChars="200"/>
        <w:jc w:val="lef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预付款支付期限：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预付款扣回的方式：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12.2.2 预付款担保</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预付款担保的形式为：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12.3 计量</w:t>
      </w:r>
    </w:p>
    <w:p>
      <w:pPr>
        <w:pStyle w:val="124"/>
        <w:spacing w:line="360" w:lineRule="auto"/>
        <w:ind w:firstLine="420" w:firstLineChars="200"/>
        <w:jc w:val="left"/>
        <w:rPr>
          <w:rFonts w:ascii="宋体" w:hAnsi="宋体"/>
          <w:color w:val="auto"/>
          <w:szCs w:val="21"/>
        </w:rPr>
      </w:pPr>
      <w:r>
        <w:rPr>
          <w:rFonts w:ascii="宋体" w:hAnsi="宋体"/>
          <w:color w:val="auto"/>
          <w:szCs w:val="21"/>
        </w:rPr>
        <w:t>12.3.1 计量原则</w:t>
      </w:r>
    </w:p>
    <w:p>
      <w:pPr>
        <w:pStyle w:val="124"/>
        <w:spacing w:line="360" w:lineRule="auto"/>
        <w:ind w:firstLine="420" w:firstLineChars="200"/>
        <w:jc w:val="left"/>
        <w:rPr>
          <w:rFonts w:ascii="宋体" w:hAnsi="宋体"/>
          <w:color w:val="auto"/>
          <w:szCs w:val="21"/>
        </w:rPr>
      </w:pPr>
      <w:r>
        <w:rPr>
          <w:rFonts w:ascii="宋体" w:hAnsi="宋体"/>
          <w:color w:val="auto"/>
          <w:szCs w:val="21"/>
        </w:rPr>
        <w:t>工程量计算规则：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12.3.2 计量周期</w:t>
      </w:r>
    </w:p>
    <w:p>
      <w:pPr>
        <w:pStyle w:val="124"/>
        <w:spacing w:line="360" w:lineRule="auto"/>
        <w:ind w:firstLine="420" w:firstLineChars="200"/>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12.3.3 单价合同的计量</w:t>
      </w:r>
    </w:p>
    <w:p>
      <w:pPr>
        <w:pStyle w:val="124"/>
        <w:spacing w:line="360" w:lineRule="auto"/>
        <w:ind w:firstLine="420" w:firstLineChars="200"/>
        <w:jc w:val="left"/>
        <w:rPr>
          <w:rFonts w:ascii="宋体" w:hAnsi="宋体"/>
          <w:color w:val="auto"/>
          <w:szCs w:val="21"/>
        </w:rPr>
      </w:pPr>
      <w:r>
        <w:rPr>
          <w:rFonts w:ascii="宋体" w:hAnsi="宋体"/>
          <w:color w:val="auto"/>
          <w:szCs w:val="21"/>
        </w:rPr>
        <w:t>关于单价合同计量的约定：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12.3.4 总价合同的计量</w:t>
      </w:r>
    </w:p>
    <w:p>
      <w:pPr>
        <w:pStyle w:val="124"/>
        <w:spacing w:line="360" w:lineRule="auto"/>
        <w:ind w:firstLine="420" w:firstLineChars="200"/>
        <w:jc w:val="left"/>
        <w:rPr>
          <w:rFonts w:ascii="宋体" w:hAnsi="宋体"/>
          <w:color w:val="auto"/>
          <w:szCs w:val="21"/>
        </w:rPr>
      </w:pPr>
      <w:r>
        <w:rPr>
          <w:rFonts w:ascii="宋体" w:hAnsi="宋体"/>
          <w:color w:val="auto"/>
          <w:szCs w:val="21"/>
        </w:rPr>
        <w:t>关于总价合同计量的约定：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12.3.5总价合同采用支付分解表计量支付的，是否适用第</w:t>
      </w:r>
      <w:r>
        <w:rPr>
          <w:rFonts w:ascii="宋体" w:hAnsi="宋体"/>
          <w:color w:val="auto"/>
          <w:kern w:val="0"/>
          <w:szCs w:val="21"/>
        </w:rPr>
        <w:t xml:space="preserve">12.3.4 </w:t>
      </w:r>
      <w:r>
        <w:rPr>
          <w:rFonts w:ascii="宋体" w:hAnsi="宋体"/>
          <w:color w:val="auto"/>
          <w:szCs w:val="21"/>
        </w:rPr>
        <w:t>项</w:t>
      </w:r>
      <w:r>
        <w:rPr>
          <w:rFonts w:hint="eastAsia" w:ascii="宋体" w:hAnsi="宋体"/>
          <w:color w:val="auto"/>
          <w:kern w:val="0"/>
          <w:szCs w:val="21"/>
        </w:rPr>
        <w:t>〔</w:t>
      </w:r>
      <w:r>
        <w:rPr>
          <w:rFonts w:ascii="宋体" w:hAnsi="宋体"/>
          <w:color w:val="auto"/>
          <w:kern w:val="0"/>
          <w:szCs w:val="21"/>
        </w:rPr>
        <w:t>总价合同的计量</w:t>
      </w:r>
      <w:r>
        <w:rPr>
          <w:rFonts w:hint="eastAsia" w:ascii="宋体" w:hAnsi="宋体"/>
          <w:color w:val="auto"/>
          <w:kern w:val="0"/>
          <w:szCs w:val="21"/>
        </w:rPr>
        <w:t>〕</w:t>
      </w:r>
      <w:r>
        <w:rPr>
          <w:rFonts w:ascii="宋体" w:hAnsi="宋体"/>
          <w:color w:val="auto"/>
          <w:szCs w:val="21"/>
        </w:rPr>
        <w:t>约定</w:t>
      </w:r>
      <w:r>
        <w:rPr>
          <w:rFonts w:hint="eastAsia" w:ascii="宋体" w:hAnsi="宋体"/>
          <w:color w:val="auto"/>
          <w:szCs w:val="21"/>
        </w:rPr>
        <w:t>进行计量：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12.3.6 其他价格形式合同的计量</w:t>
      </w:r>
    </w:p>
    <w:p>
      <w:pPr>
        <w:pStyle w:val="124"/>
        <w:spacing w:line="360" w:lineRule="auto"/>
        <w:ind w:firstLine="420" w:firstLineChars="200"/>
        <w:jc w:val="left"/>
        <w:rPr>
          <w:rFonts w:ascii="宋体" w:hAnsi="宋体"/>
          <w:color w:val="auto"/>
          <w:szCs w:val="21"/>
        </w:rPr>
      </w:pPr>
      <w:r>
        <w:rPr>
          <w:rFonts w:ascii="宋体" w:hAnsi="宋体"/>
          <w:color w:val="auto"/>
          <w:szCs w:val="21"/>
        </w:rPr>
        <w:t>其他价格形式的计量方式和程序：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12.4 工程进度款支付</w:t>
      </w:r>
    </w:p>
    <w:p>
      <w:pPr>
        <w:pStyle w:val="124"/>
        <w:spacing w:line="360" w:lineRule="auto"/>
        <w:ind w:firstLine="420" w:firstLineChars="200"/>
        <w:jc w:val="left"/>
        <w:rPr>
          <w:rFonts w:ascii="宋体" w:hAnsi="宋体"/>
          <w:color w:val="auto"/>
          <w:szCs w:val="21"/>
        </w:rPr>
      </w:pPr>
      <w:r>
        <w:rPr>
          <w:rFonts w:ascii="宋体" w:hAnsi="宋体"/>
          <w:color w:val="auto"/>
          <w:szCs w:val="21"/>
        </w:rPr>
        <w:t>12.4.1 付款周期</w:t>
      </w:r>
    </w:p>
    <w:p>
      <w:pPr>
        <w:pStyle w:val="124"/>
        <w:spacing w:line="360" w:lineRule="auto"/>
        <w:ind w:firstLine="420" w:firstLineChars="200"/>
        <w:jc w:val="left"/>
        <w:rPr>
          <w:rFonts w:ascii="宋体" w:hAnsi="宋体"/>
          <w:color w:val="auto"/>
          <w:szCs w:val="21"/>
        </w:rPr>
      </w:pPr>
      <w:r>
        <w:rPr>
          <w:rFonts w:ascii="宋体" w:hAnsi="宋体"/>
          <w:color w:val="auto"/>
          <w:szCs w:val="21"/>
        </w:rPr>
        <w:t>关于付款周期的约定：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12.4.2 进度付款申请单的编制</w:t>
      </w:r>
    </w:p>
    <w:p>
      <w:pPr>
        <w:pStyle w:val="124"/>
        <w:spacing w:line="360" w:lineRule="auto"/>
        <w:ind w:firstLine="420" w:firstLineChars="200"/>
        <w:jc w:val="left"/>
        <w:rPr>
          <w:rFonts w:ascii="宋体" w:hAnsi="宋体"/>
          <w:color w:val="auto"/>
          <w:szCs w:val="21"/>
        </w:rPr>
      </w:pPr>
      <w:r>
        <w:rPr>
          <w:rFonts w:ascii="宋体" w:hAnsi="宋体"/>
          <w:color w:val="auto"/>
          <w:szCs w:val="21"/>
        </w:rPr>
        <w:t>关于进度付款申请单编制的约定：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12.4.3 进度付款申请单的提交</w:t>
      </w:r>
    </w:p>
    <w:p>
      <w:pPr>
        <w:pStyle w:val="124"/>
        <w:spacing w:line="360" w:lineRule="auto"/>
        <w:ind w:firstLine="420" w:firstLineChars="200"/>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（3）其他价格形式合同进度付款申请单提交的约定：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12.4.4 进度款审核和支付</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（1）监理人审查并报送发包人的期限：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发包人完成审批并签发进度款支付证书的期限：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（2）发包人支付进度款的期限：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525" w:firstLineChars="250"/>
        <w:jc w:val="left"/>
        <w:rPr>
          <w:rFonts w:ascii="宋体" w:hAnsi="宋体"/>
          <w:color w:val="auto"/>
          <w:szCs w:val="21"/>
        </w:rPr>
      </w:pPr>
      <w:r>
        <w:rPr>
          <w:rFonts w:ascii="宋体" w:hAnsi="宋体"/>
          <w:color w:val="auto"/>
          <w:szCs w:val="21"/>
        </w:rPr>
        <w:t>发包人逾期支付进度款的违约金的计算方式：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525" w:firstLineChars="250"/>
        <w:jc w:val="left"/>
        <w:rPr>
          <w:rFonts w:ascii="宋体" w:hAnsi="宋体"/>
          <w:color w:val="auto"/>
          <w:szCs w:val="21"/>
        </w:rPr>
      </w:pPr>
      <w:r>
        <w:rPr>
          <w:rFonts w:ascii="宋体" w:hAnsi="宋体"/>
          <w:color w:val="auto"/>
          <w:szCs w:val="21"/>
        </w:rPr>
        <w:t>12.4.6 支付分解表的编制</w:t>
      </w:r>
    </w:p>
    <w:p>
      <w:pPr>
        <w:pStyle w:val="124"/>
        <w:spacing w:line="360" w:lineRule="auto"/>
        <w:ind w:firstLine="420" w:firstLineChars="200"/>
        <w:jc w:val="left"/>
        <w:rPr>
          <w:rFonts w:ascii="宋体" w:hAnsi="宋体"/>
          <w:color w:val="auto"/>
          <w:szCs w:val="21"/>
        </w:rPr>
      </w:pPr>
      <w:r>
        <w:rPr>
          <w:rFonts w:ascii="宋体" w:hAnsi="宋体"/>
          <w:color w:val="auto"/>
          <w:szCs w:val="21"/>
        </w:rPr>
        <w:t>2、总价合同支付分解表的编制与审批：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3、单价合同的总价项目支付分解表的编制与审批：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70" w:name="_Toc17831"/>
      <w:bookmarkStart w:id="1571" w:name="_Toc7823"/>
      <w:bookmarkStart w:id="1572" w:name="_Toc24972"/>
      <w:bookmarkStart w:id="1573" w:name="_Toc12962"/>
      <w:bookmarkStart w:id="1574" w:name="_Toc7417"/>
      <w:bookmarkStart w:id="1575" w:name="_Toc6818"/>
      <w:bookmarkStart w:id="1576" w:name="_Toc4078412"/>
      <w:bookmarkStart w:id="1577" w:name="_Toc124613020"/>
      <w:bookmarkStart w:id="1578" w:name="_Toc15542"/>
      <w:r>
        <w:rPr>
          <w:rFonts w:ascii="宋体" w:hAnsi="宋体"/>
          <w:b w:val="0"/>
          <w:color w:val="auto"/>
          <w:sz w:val="21"/>
          <w:szCs w:val="21"/>
        </w:rPr>
        <w:t>13.</w:t>
      </w:r>
      <w:r>
        <w:rPr>
          <w:rFonts w:hint="eastAsia" w:ascii="宋体" w:hAnsi="宋体"/>
          <w:b w:val="0"/>
          <w:color w:val="auto"/>
          <w:sz w:val="21"/>
          <w:szCs w:val="21"/>
        </w:rPr>
        <w:t xml:space="preserve"> </w:t>
      </w:r>
      <w:r>
        <w:rPr>
          <w:rFonts w:ascii="宋体" w:hAnsi="宋体"/>
          <w:b w:val="0"/>
          <w:color w:val="auto"/>
          <w:sz w:val="21"/>
          <w:szCs w:val="21"/>
        </w:rPr>
        <w:t>验收和工程试车</w:t>
      </w:r>
      <w:bookmarkEnd w:id="1570"/>
      <w:bookmarkEnd w:id="1571"/>
      <w:bookmarkEnd w:id="1572"/>
      <w:bookmarkEnd w:id="1573"/>
      <w:bookmarkEnd w:id="1574"/>
      <w:bookmarkEnd w:id="1575"/>
      <w:bookmarkEnd w:id="1576"/>
      <w:bookmarkEnd w:id="1577"/>
      <w:bookmarkEnd w:id="1578"/>
    </w:p>
    <w:p>
      <w:pPr>
        <w:pStyle w:val="124"/>
        <w:spacing w:after="120" w:line="360" w:lineRule="auto"/>
        <w:ind w:firstLine="420" w:firstLineChars="200"/>
        <w:rPr>
          <w:rFonts w:ascii="宋体" w:hAnsi="宋体"/>
          <w:color w:val="auto"/>
          <w:szCs w:val="21"/>
        </w:rPr>
      </w:pPr>
      <w:r>
        <w:rPr>
          <w:rFonts w:ascii="宋体" w:hAnsi="宋体"/>
          <w:color w:val="auto"/>
          <w:szCs w:val="21"/>
        </w:rPr>
        <w:t>13.1 分部分项工程验收</w:t>
      </w:r>
    </w:p>
    <w:p>
      <w:pPr>
        <w:pStyle w:val="124"/>
        <w:spacing w:line="360" w:lineRule="auto"/>
        <w:ind w:firstLine="420" w:firstLineChars="200"/>
        <w:jc w:val="left"/>
        <w:rPr>
          <w:rFonts w:ascii="宋体" w:hAnsi="宋体"/>
          <w:color w:val="auto"/>
          <w:szCs w:val="21"/>
        </w:rPr>
      </w:pPr>
      <w:r>
        <w:rPr>
          <w:rFonts w:ascii="宋体" w:hAnsi="宋体"/>
          <w:color w:val="auto"/>
          <w:szCs w:val="21"/>
        </w:rPr>
        <w:t>13.1.2监理人不能按时进行验收时，应提前</w:t>
      </w:r>
      <w:r>
        <w:rPr>
          <w:rFonts w:ascii="宋体" w:hAnsi="宋体"/>
          <w:color w:val="auto"/>
          <w:szCs w:val="21"/>
          <w:u w:val="single"/>
        </w:rPr>
        <w:t xml:space="preserve">       </w:t>
      </w:r>
      <w:r>
        <w:rPr>
          <w:rFonts w:ascii="宋体" w:hAnsi="宋体"/>
          <w:color w:val="auto"/>
          <w:szCs w:val="21"/>
        </w:rPr>
        <w:t>小时提交书面延期要求。</w:t>
      </w:r>
    </w:p>
    <w:p>
      <w:pPr>
        <w:pStyle w:val="124"/>
        <w:spacing w:line="360" w:lineRule="auto"/>
        <w:ind w:firstLine="420" w:firstLineChars="200"/>
        <w:jc w:val="left"/>
        <w:rPr>
          <w:rFonts w:ascii="宋体" w:hAnsi="宋体"/>
          <w:b/>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pStyle w:val="124"/>
        <w:spacing w:after="120" w:line="360" w:lineRule="auto"/>
        <w:ind w:firstLine="420" w:firstLineChars="200"/>
        <w:rPr>
          <w:rFonts w:ascii="宋体" w:hAnsi="宋体"/>
          <w:color w:val="auto"/>
          <w:szCs w:val="21"/>
        </w:rPr>
      </w:pPr>
      <w:r>
        <w:rPr>
          <w:rFonts w:ascii="宋体" w:hAnsi="宋体"/>
          <w:color w:val="auto"/>
          <w:szCs w:val="21"/>
        </w:rPr>
        <w:t>13.2 竣工验收</w:t>
      </w:r>
    </w:p>
    <w:p>
      <w:pPr>
        <w:pStyle w:val="124"/>
        <w:spacing w:line="360" w:lineRule="auto"/>
        <w:ind w:firstLine="420" w:firstLineChars="200"/>
        <w:jc w:val="left"/>
        <w:rPr>
          <w:rFonts w:ascii="宋体" w:hAnsi="宋体"/>
          <w:color w:val="auto"/>
          <w:szCs w:val="21"/>
        </w:rPr>
      </w:pPr>
      <w:r>
        <w:rPr>
          <w:rFonts w:ascii="宋体" w:hAnsi="宋体"/>
          <w:color w:val="auto"/>
          <w:szCs w:val="21"/>
        </w:rPr>
        <w:t>13.2.2竣工验收程序</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关于竣工验收程序的约定：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u w:val="single"/>
        </w:rPr>
      </w:pPr>
      <w:r>
        <w:rPr>
          <w:rFonts w:ascii="宋体" w:hAnsi="宋体"/>
          <w:color w:val="auto"/>
          <w:kern w:val="0"/>
          <w:szCs w:val="21"/>
        </w:rPr>
        <w:t>发包人不按照本项约定组织竣工验收、颁发工程接收证书的违约金的计算方法：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24"/>
        <w:spacing w:line="360" w:lineRule="auto"/>
        <w:jc w:val="left"/>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13.2.5移交、接收全部与部分工程</w:t>
      </w:r>
    </w:p>
    <w:p>
      <w:pPr>
        <w:pStyle w:val="124"/>
        <w:spacing w:line="360" w:lineRule="auto"/>
        <w:ind w:firstLine="420" w:firstLineChars="200"/>
        <w:jc w:val="left"/>
        <w:rPr>
          <w:rFonts w:ascii="宋体" w:hAnsi="宋体"/>
          <w:color w:val="auto"/>
          <w:kern w:val="0"/>
          <w:szCs w:val="21"/>
        </w:rPr>
      </w:pPr>
      <w:r>
        <w:rPr>
          <w:rFonts w:hint="eastAsia" w:ascii="宋体" w:hAnsi="宋体"/>
          <w:color w:val="auto"/>
          <w:kern w:val="0"/>
          <w:szCs w:val="21"/>
        </w:rPr>
        <w:t>承包人向发包人移交工程的期限：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pStyle w:val="124"/>
        <w:wordWrap w:val="0"/>
        <w:spacing w:line="360" w:lineRule="auto"/>
        <w:ind w:firstLine="420" w:firstLineChars="200"/>
        <w:jc w:val="lef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承包人未按时移交工程的，违约金的计算方法为：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13.3 工程试车</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13.3.1 试车程序</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工程试车内容：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（1）单机无负荷试车费用由</w:t>
      </w:r>
      <w:r>
        <w:rPr>
          <w:rFonts w:ascii="宋体" w:hAnsi="宋体"/>
          <w:color w:val="auto"/>
          <w:szCs w:val="21"/>
          <w:u w:val="single"/>
        </w:rPr>
        <w:t xml:space="preserve">                     </w:t>
      </w:r>
      <w:r>
        <w:rPr>
          <w:rFonts w:ascii="宋体" w:hAnsi="宋体"/>
          <w:color w:val="auto"/>
          <w:kern w:val="0"/>
          <w:szCs w:val="21"/>
        </w:rPr>
        <w:t>承担；</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（2）无负荷联动试车费用由</w:t>
      </w:r>
      <w:r>
        <w:rPr>
          <w:rFonts w:ascii="宋体" w:hAnsi="宋体"/>
          <w:color w:val="auto"/>
          <w:szCs w:val="21"/>
          <w:u w:val="single"/>
        </w:rPr>
        <w:t xml:space="preserve">                     </w:t>
      </w:r>
      <w:r>
        <w:rPr>
          <w:rFonts w:ascii="宋体" w:hAnsi="宋体"/>
          <w:color w:val="auto"/>
          <w:kern w:val="0"/>
          <w:szCs w:val="21"/>
        </w:rPr>
        <w:t>承担。</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13.3.3 投料试车</w:t>
      </w:r>
    </w:p>
    <w:p>
      <w:pPr>
        <w:pStyle w:val="124"/>
        <w:spacing w:line="360" w:lineRule="auto"/>
        <w:ind w:firstLine="420" w:firstLineChars="200"/>
        <w:jc w:val="left"/>
        <w:rPr>
          <w:rFonts w:ascii="宋体" w:hAnsi="宋体"/>
          <w:color w:val="auto"/>
          <w:kern w:val="0"/>
          <w:szCs w:val="21"/>
        </w:rPr>
      </w:pPr>
      <w:r>
        <w:rPr>
          <w:rFonts w:hint="eastAsia" w:ascii="宋体" w:hAnsi="宋体"/>
          <w:color w:val="auto"/>
          <w:kern w:val="0"/>
          <w:szCs w:val="21"/>
        </w:rPr>
        <w:t>关于投料试车相关事项的约定：</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13.6 竣工退场</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13.6.1 竣工退场</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承包人完成竣工退场的期限：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kern w:val="0"/>
          <w:szCs w:val="21"/>
        </w:rPr>
        <w:t>。</w:t>
      </w:r>
    </w:p>
    <w:p>
      <w:pPr>
        <w:pStyle w:val="136"/>
        <w:spacing w:before="120" w:after="120" w:line="360" w:lineRule="auto"/>
        <w:outlineLvl w:val="2"/>
        <w:rPr>
          <w:rFonts w:ascii="宋体" w:hAnsi="宋体"/>
          <w:b w:val="0"/>
          <w:color w:val="auto"/>
          <w:sz w:val="21"/>
          <w:szCs w:val="21"/>
        </w:rPr>
      </w:pPr>
      <w:bookmarkStart w:id="1579" w:name="_Toc14671"/>
      <w:bookmarkStart w:id="1580" w:name="_Toc15199"/>
      <w:bookmarkStart w:id="1581" w:name="_Toc4078413"/>
      <w:bookmarkStart w:id="1582" w:name="_Toc19765"/>
      <w:bookmarkStart w:id="1583" w:name="_Toc124613021"/>
      <w:bookmarkStart w:id="1584" w:name="_Toc21593"/>
      <w:bookmarkStart w:id="1585" w:name="_Toc19148"/>
      <w:bookmarkStart w:id="1586" w:name="_Toc11808"/>
      <w:bookmarkStart w:id="1587" w:name="_Toc9648"/>
      <w:r>
        <w:rPr>
          <w:rFonts w:ascii="宋体" w:hAnsi="宋体"/>
          <w:b w:val="0"/>
          <w:color w:val="auto"/>
          <w:sz w:val="21"/>
          <w:szCs w:val="21"/>
        </w:rPr>
        <w:t>14. 竣工结算</w:t>
      </w:r>
      <w:bookmarkEnd w:id="1579"/>
      <w:bookmarkEnd w:id="1580"/>
      <w:bookmarkEnd w:id="1581"/>
      <w:bookmarkEnd w:id="1582"/>
      <w:bookmarkEnd w:id="1583"/>
      <w:bookmarkEnd w:id="1584"/>
      <w:bookmarkEnd w:id="1585"/>
      <w:bookmarkEnd w:id="1586"/>
      <w:bookmarkEnd w:id="1587"/>
    </w:p>
    <w:p>
      <w:pPr>
        <w:pStyle w:val="124"/>
        <w:spacing w:after="120" w:line="360" w:lineRule="auto"/>
        <w:ind w:firstLine="420" w:firstLineChars="200"/>
        <w:rPr>
          <w:rFonts w:ascii="宋体" w:hAnsi="宋体"/>
          <w:color w:val="auto"/>
          <w:szCs w:val="21"/>
        </w:rPr>
      </w:pPr>
      <w:r>
        <w:rPr>
          <w:rFonts w:ascii="宋体" w:hAnsi="宋体"/>
          <w:color w:val="auto"/>
          <w:szCs w:val="21"/>
        </w:rPr>
        <w:t>14.1 竣工</w:t>
      </w:r>
      <w:r>
        <w:rPr>
          <w:rFonts w:hint="eastAsia" w:ascii="宋体" w:hAnsi="宋体"/>
          <w:color w:val="auto"/>
          <w:szCs w:val="21"/>
        </w:rPr>
        <w:t>结算</w:t>
      </w:r>
      <w:r>
        <w:rPr>
          <w:rFonts w:ascii="宋体" w:hAnsi="宋体"/>
          <w:color w:val="auto"/>
          <w:szCs w:val="21"/>
        </w:rPr>
        <w:t>申请</w:t>
      </w:r>
    </w:p>
    <w:p>
      <w:pPr>
        <w:pStyle w:val="124"/>
        <w:spacing w:line="360" w:lineRule="auto"/>
        <w:ind w:firstLine="420" w:firstLineChars="200"/>
        <w:jc w:val="left"/>
        <w:rPr>
          <w:rFonts w:ascii="宋体" w:hAnsi="宋体"/>
          <w:color w:val="auto"/>
          <w:szCs w:val="21"/>
        </w:rPr>
      </w:pPr>
      <w:r>
        <w:rPr>
          <w:rFonts w:ascii="宋体" w:hAnsi="宋体"/>
          <w:color w:val="auto"/>
          <w:szCs w:val="21"/>
        </w:rPr>
        <w:t>承包人提交竣工</w:t>
      </w:r>
      <w:r>
        <w:rPr>
          <w:rFonts w:hint="eastAsia" w:ascii="宋体" w:hAnsi="宋体"/>
          <w:color w:val="auto"/>
          <w:szCs w:val="21"/>
        </w:rPr>
        <w:t>结算</w:t>
      </w:r>
      <w:r>
        <w:rPr>
          <w:rFonts w:ascii="宋体" w:hAnsi="宋体"/>
          <w:color w:val="auto"/>
          <w:szCs w:val="21"/>
        </w:rPr>
        <w:t>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竣工</w:t>
      </w:r>
      <w:r>
        <w:rPr>
          <w:rFonts w:hint="eastAsia" w:ascii="宋体" w:hAnsi="宋体"/>
          <w:color w:val="auto"/>
          <w:szCs w:val="21"/>
        </w:rPr>
        <w:t>结算</w:t>
      </w:r>
      <w:r>
        <w:rPr>
          <w:rFonts w:ascii="宋体" w:hAnsi="宋体"/>
          <w:color w:val="auto"/>
          <w:szCs w:val="21"/>
        </w:rPr>
        <w:t>申请单应包括的内容：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14.2 竣工结算审核</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竣工付款申请单的期限：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发包人完成竣工付款的期限：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hint="eastAsia" w:ascii="宋体" w:hAnsi="宋体"/>
          <w:color w:val="auto"/>
          <w:szCs w:val="21"/>
        </w:rPr>
        <w:t>关于竣工付款证书异议部分复核的方式和程序：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14.4 最终结清</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14.4.1 最终结清申请单</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承包人提交最终结清申请单的份数：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承包人提交最终结算申请单的期限：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14.4.2 最终结清证书和支付</w:t>
      </w:r>
    </w:p>
    <w:p>
      <w:pPr>
        <w:pStyle w:val="124"/>
        <w:spacing w:line="360" w:lineRule="auto"/>
        <w:ind w:firstLine="420" w:firstLineChars="200"/>
        <w:jc w:val="left"/>
        <w:rPr>
          <w:rFonts w:ascii="宋体" w:hAnsi="宋体"/>
          <w:color w:val="auto"/>
          <w:szCs w:val="21"/>
        </w:rPr>
      </w:pPr>
      <w:r>
        <w:rPr>
          <w:rFonts w:ascii="宋体" w:hAnsi="宋体"/>
          <w:color w:val="auto"/>
          <w:szCs w:val="21"/>
        </w:rPr>
        <w:t>（1）发包人完成最终结清申请单的</w:t>
      </w:r>
      <w:r>
        <w:rPr>
          <w:rFonts w:hint="eastAsia" w:ascii="宋体" w:hAnsi="宋体"/>
          <w:color w:val="auto"/>
          <w:szCs w:val="21"/>
        </w:rPr>
        <w:t>审批</w:t>
      </w:r>
      <w:r>
        <w:rPr>
          <w:rFonts w:ascii="宋体" w:hAnsi="宋体"/>
          <w:color w:val="auto"/>
          <w:szCs w:val="21"/>
        </w:rPr>
        <w:t>并颁发最终结清证书的期限：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（2）发包人完成支付的期限：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588" w:name="_Toc19743"/>
      <w:bookmarkStart w:id="1589" w:name="_Toc9790"/>
      <w:bookmarkStart w:id="1590" w:name="_Toc8016"/>
      <w:bookmarkStart w:id="1591" w:name="_Toc14260"/>
      <w:bookmarkStart w:id="1592" w:name="_Toc31966"/>
      <w:bookmarkStart w:id="1593" w:name="_Toc124613022"/>
      <w:bookmarkStart w:id="1594" w:name="_Toc25547"/>
      <w:bookmarkStart w:id="1595" w:name="_Toc21705"/>
      <w:bookmarkStart w:id="1596" w:name="_Toc4078414"/>
      <w:r>
        <w:rPr>
          <w:rFonts w:ascii="宋体" w:hAnsi="宋体"/>
          <w:b w:val="0"/>
          <w:color w:val="auto"/>
          <w:sz w:val="21"/>
          <w:szCs w:val="21"/>
        </w:rPr>
        <w:t>15. 缺陷责任期与保修</w:t>
      </w:r>
      <w:bookmarkEnd w:id="1588"/>
      <w:bookmarkEnd w:id="1589"/>
      <w:bookmarkEnd w:id="1590"/>
      <w:bookmarkEnd w:id="1591"/>
      <w:bookmarkEnd w:id="1592"/>
      <w:bookmarkEnd w:id="1593"/>
      <w:bookmarkEnd w:id="1594"/>
      <w:bookmarkEnd w:id="1595"/>
      <w:bookmarkEnd w:id="1596"/>
    </w:p>
    <w:p>
      <w:pPr>
        <w:pStyle w:val="124"/>
        <w:spacing w:after="120" w:line="360" w:lineRule="auto"/>
        <w:ind w:firstLine="420" w:firstLineChars="200"/>
        <w:rPr>
          <w:rFonts w:ascii="宋体" w:hAnsi="宋体"/>
          <w:color w:val="auto"/>
          <w:szCs w:val="21"/>
        </w:rPr>
      </w:pPr>
      <w:r>
        <w:rPr>
          <w:rFonts w:ascii="宋体" w:hAnsi="宋体"/>
          <w:color w:val="auto"/>
          <w:szCs w:val="21"/>
        </w:rPr>
        <w:t>15.2缺陷责任期</w:t>
      </w:r>
    </w:p>
    <w:p>
      <w:pPr>
        <w:pStyle w:val="124"/>
        <w:spacing w:line="360" w:lineRule="auto"/>
        <w:ind w:firstLine="420" w:firstLineChars="200"/>
        <w:jc w:val="left"/>
        <w:rPr>
          <w:rFonts w:ascii="宋体" w:hAnsi="宋体"/>
          <w:color w:val="auto"/>
          <w:szCs w:val="21"/>
        </w:rPr>
      </w:pPr>
      <w:r>
        <w:rPr>
          <w:rFonts w:ascii="宋体" w:hAnsi="宋体"/>
          <w:color w:val="auto"/>
          <w:szCs w:val="21"/>
        </w:rPr>
        <w:t>缺陷责任期的具体期限：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15.3 质量保证金</w:t>
      </w:r>
    </w:p>
    <w:p>
      <w:pPr>
        <w:pStyle w:val="124"/>
        <w:spacing w:line="360" w:lineRule="auto"/>
        <w:ind w:firstLine="420" w:firstLineChars="200"/>
        <w:jc w:val="left"/>
        <w:rPr>
          <w:rFonts w:ascii="宋体" w:hAnsi="宋体"/>
          <w:color w:val="auto"/>
          <w:szCs w:val="21"/>
        </w:rPr>
      </w:pPr>
      <w:r>
        <w:rPr>
          <w:rFonts w:hint="eastAsia" w:ascii="宋体" w:hAnsi="宋体"/>
          <w:color w:val="auto"/>
          <w:szCs w:val="21"/>
        </w:rPr>
        <w:t>关于是否扣留质量保证金的约定：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在工程项目竣工前，承包人按专用合同条款第3.7条提供履约担保的，发包人不得同时预留工程质量保证金。</w:t>
      </w:r>
    </w:p>
    <w:p>
      <w:pPr>
        <w:pStyle w:val="124"/>
        <w:spacing w:line="360" w:lineRule="auto"/>
        <w:ind w:firstLine="420" w:firstLineChars="200"/>
        <w:jc w:val="left"/>
        <w:rPr>
          <w:rFonts w:ascii="宋体" w:hAnsi="宋体"/>
          <w:color w:val="auto"/>
          <w:szCs w:val="21"/>
        </w:rPr>
      </w:pPr>
    </w:p>
    <w:p>
      <w:pPr>
        <w:pStyle w:val="124"/>
        <w:spacing w:line="360" w:lineRule="auto"/>
        <w:ind w:firstLine="420" w:firstLineChars="200"/>
        <w:jc w:val="left"/>
        <w:rPr>
          <w:rFonts w:ascii="宋体" w:hAnsi="宋体"/>
          <w:color w:val="auto"/>
          <w:szCs w:val="21"/>
        </w:rPr>
      </w:pPr>
      <w:r>
        <w:rPr>
          <w:rFonts w:ascii="宋体" w:hAnsi="宋体"/>
          <w:color w:val="auto"/>
          <w:szCs w:val="21"/>
        </w:rPr>
        <w:t xml:space="preserve">15.3.1 </w:t>
      </w:r>
      <w:r>
        <w:rPr>
          <w:rFonts w:hint="eastAsia" w:ascii="宋体" w:hAnsi="宋体"/>
          <w:color w:val="auto"/>
          <w:szCs w:val="21"/>
        </w:rPr>
        <w:t>承包人提供</w:t>
      </w:r>
      <w:r>
        <w:rPr>
          <w:rFonts w:ascii="宋体" w:hAnsi="宋体"/>
          <w:color w:val="auto"/>
          <w:szCs w:val="21"/>
        </w:rPr>
        <w:t>质量保证金的</w:t>
      </w:r>
      <w:r>
        <w:rPr>
          <w:rFonts w:hint="eastAsia" w:ascii="宋体" w:hAnsi="宋体"/>
          <w:color w:val="auto"/>
          <w:szCs w:val="21"/>
        </w:rPr>
        <w:t>方</w:t>
      </w:r>
      <w:r>
        <w:rPr>
          <w:rFonts w:ascii="宋体" w:hAnsi="宋体"/>
          <w:color w:val="auto"/>
          <w:szCs w:val="21"/>
        </w:rPr>
        <w:t>式</w:t>
      </w:r>
    </w:p>
    <w:p>
      <w:pPr>
        <w:pStyle w:val="124"/>
        <w:spacing w:line="360" w:lineRule="auto"/>
        <w:ind w:firstLine="420" w:firstLineChars="200"/>
        <w:jc w:val="left"/>
        <w:rPr>
          <w:rFonts w:ascii="宋体" w:hAnsi="宋体"/>
          <w:color w:val="auto"/>
          <w:szCs w:val="21"/>
        </w:rPr>
      </w:pPr>
      <w:r>
        <w:rPr>
          <w:rFonts w:ascii="宋体" w:hAnsi="宋体"/>
          <w:color w:val="auto"/>
          <w:szCs w:val="21"/>
        </w:rPr>
        <w:t>质量保证金采用以下第</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种方式：</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（1）质量保证金保函，保证金额为：</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 xml:space="preserve">； </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ascii="宋体" w:hAnsi="宋体"/>
          <w:color w:val="auto"/>
          <w:kern w:val="0"/>
          <w:szCs w:val="21"/>
          <w:u w:val="single"/>
        </w:rPr>
        <w:t xml:space="preserve">      </w:t>
      </w:r>
      <w:r>
        <w:rPr>
          <w:rFonts w:ascii="宋体" w:hAnsi="宋体"/>
          <w:color w:val="auto"/>
          <w:kern w:val="0"/>
          <w:szCs w:val="21"/>
        </w:rPr>
        <w:t>%的工程款；</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w:t>
      </w:r>
      <w:r>
        <w:rPr>
          <w:rFonts w:hint="eastAsia" w:ascii="宋体" w:hAnsi="宋体"/>
          <w:color w:val="auto"/>
          <w:kern w:val="0"/>
          <w:szCs w:val="21"/>
        </w:rPr>
        <w:t>方</w:t>
      </w:r>
      <w:r>
        <w:rPr>
          <w:rFonts w:ascii="宋体" w:hAnsi="宋体"/>
          <w:color w:val="auto"/>
          <w:kern w:val="0"/>
          <w:szCs w:val="21"/>
        </w:rPr>
        <w:t>式</w:t>
      </w:r>
      <w:r>
        <w:rPr>
          <w:rFonts w:hint="eastAsia"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 xml:space="preserve">15.3.2 质量保证金的扣留 </w:t>
      </w:r>
    </w:p>
    <w:p>
      <w:pPr>
        <w:pStyle w:val="124"/>
        <w:spacing w:line="360" w:lineRule="auto"/>
        <w:ind w:firstLine="420" w:firstLineChars="200"/>
        <w:jc w:val="left"/>
        <w:rPr>
          <w:rFonts w:ascii="宋体" w:hAnsi="宋体"/>
          <w:color w:val="auto"/>
          <w:szCs w:val="21"/>
        </w:rPr>
      </w:pPr>
      <w:r>
        <w:rPr>
          <w:rFonts w:ascii="宋体" w:hAnsi="宋体"/>
          <w:color w:val="auto"/>
          <w:szCs w:val="21"/>
        </w:rPr>
        <w:t>质量保证金的扣留采取以下第</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种方式：</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（2）工程竣工结算时一次性扣留质量保证金；</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（3）其他扣留方式</w:t>
      </w:r>
      <w:r>
        <w:rPr>
          <w:rFonts w:hint="eastAsia"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关于质量保证金的补充约定：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15.4保修</w:t>
      </w:r>
    </w:p>
    <w:p>
      <w:pPr>
        <w:pStyle w:val="124"/>
        <w:spacing w:line="360" w:lineRule="auto"/>
        <w:ind w:firstLine="409" w:firstLineChars="195"/>
        <w:jc w:val="left"/>
        <w:rPr>
          <w:rFonts w:ascii="宋体" w:hAnsi="宋体"/>
          <w:color w:val="auto"/>
          <w:szCs w:val="21"/>
        </w:rPr>
      </w:pPr>
      <w:r>
        <w:rPr>
          <w:rFonts w:ascii="宋体" w:hAnsi="宋体"/>
          <w:color w:val="auto"/>
          <w:szCs w:val="21"/>
        </w:rPr>
        <w:t>15.4.1 保修责任</w:t>
      </w:r>
    </w:p>
    <w:p>
      <w:pPr>
        <w:pStyle w:val="124"/>
        <w:spacing w:line="360" w:lineRule="auto"/>
        <w:ind w:firstLine="409" w:firstLineChars="195"/>
        <w:jc w:val="left"/>
        <w:rPr>
          <w:rFonts w:ascii="宋体" w:hAnsi="宋体"/>
          <w:color w:val="auto"/>
          <w:kern w:val="0"/>
          <w:szCs w:val="21"/>
        </w:rPr>
      </w:pPr>
      <w:r>
        <w:rPr>
          <w:rFonts w:ascii="宋体" w:hAnsi="宋体"/>
          <w:color w:val="auto"/>
          <w:szCs w:val="21"/>
        </w:rPr>
        <w:t>工程保修期为：</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09" w:firstLineChars="195"/>
        <w:jc w:val="left"/>
        <w:rPr>
          <w:rFonts w:ascii="宋体" w:hAnsi="宋体"/>
          <w:color w:val="auto"/>
          <w:szCs w:val="21"/>
        </w:rPr>
      </w:pPr>
      <w:r>
        <w:rPr>
          <w:rFonts w:ascii="宋体" w:hAnsi="宋体"/>
          <w:color w:val="auto"/>
          <w:szCs w:val="21"/>
        </w:rPr>
        <w:t>15.4.3 修复通知</w:t>
      </w:r>
    </w:p>
    <w:p>
      <w:pPr>
        <w:pStyle w:val="124"/>
        <w:spacing w:line="360" w:lineRule="auto"/>
        <w:ind w:firstLine="409" w:firstLineChars="195"/>
        <w:jc w:val="left"/>
        <w:rPr>
          <w:rFonts w:ascii="宋体" w:hAnsi="宋体"/>
          <w:color w:val="auto"/>
          <w:kern w:val="0"/>
          <w:szCs w:val="21"/>
        </w:rPr>
      </w:pPr>
      <w:r>
        <w:rPr>
          <w:rFonts w:ascii="宋体" w:hAnsi="宋体"/>
          <w:color w:val="auto"/>
          <w:kern w:val="0"/>
          <w:szCs w:val="21"/>
        </w:rPr>
        <w:t>承包人收到保修通知并到达工程现场的合理时间：</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36"/>
        <w:spacing w:before="120" w:after="120" w:line="360" w:lineRule="auto"/>
        <w:outlineLvl w:val="2"/>
        <w:rPr>
          <w:rFonts w:ascii="宋体" w:hAnsi="宋体"/>
          <w:b w:val="0"/>
          <w:color w:val="auto"/>
          <w:sz w:val="21"/>
          <w:szCs w:val="21"/>
        </w:rPr>
      </w:pPr>
      <w:bookmarkStart w:id="1597" w:name="_Toc20569"/>
      <w:bookmarkStart w:id="1598" w:name="_Toc4078415"/>
      <w:bookmarkStart w:id="1599" w:name="_Toc21216"/>
      <w:bookmarkStart w:id="1600" w:name="_Toc14226"/>
      <w:bookmarkStart w:id="1601" w:name="_Toc29627"/>
      <w:bookmarkStart w:id="1602" w:name="_Toc14588"/>
      <w:bookmarkStart w:id="1603" w:name="_Toc124613023"/>
      <w:bookmarkStart w:id="1604" w:name="_Toc17739"/>
      <w:bookmarkStart w:id="1605" w:name="_Toc20433"/>
      <w:r>
        <w:rPr>
          <w:rFonts w:ascii="宋体" w:hAnsi="宋体"/>
          <w:b w:val="0"/>
          <w:color w:val="auto"/>
          <w:sz w:val="21"/>
          <w:szCs w:val="21"/>
        </w:rPr>
        <w:t>16. 违约</w:t>
      </w:r>
      <w:bookmarkEnd w:id="1597"/>
      <w:bookmarkEnd w:id="1598"/>
      <w:bookmarkEnd w:id="1599"/>
      <w:bookmarkEnd w:id="1600"/>
      <w:bookmarkEnd w:id="1601"/>
      <w:bookmarkEnd w:id="1602"/>
      <w:bookmarkEnd w:id="1603"/>
      <w:bookmarkEnd w:id="1604"/>
      <w:bookmarkEnd w:id="1605"/>
    </w:p>
    <w:p>
      <w:pPr>
        <w:pStyle w:val="124"/>
        <w:spacing w:after="120" w:line="360" w:lineRule="auto"/>
        <w:ind w:firstLine="420" w:firstLineChars="200"/>
        <w:rPr>
          <w:rFonts w:ascii="宋体" w:hAnsi="宋体"/>
          <w:color w:val="auto"/>
          <w:szCs w:val="21"/>
        </w:rPr>
      </w:pPr>
      <w:r>
        <w:rPr>
          <w:rFonts w:ascii="宋体" w:hAnsi="宋体"/>
          <w:color w:val="auto"/>
          <w:szCs w:val="21"/>
        </w:rPr>
        <w:t>16.1 发包人违约</w:t>
      </w:r>
    </w:p>
    <w:p>
      <w:pPr>
        <w:pStyle w:val="124"/>
        <w:spacing w:line="360" w:lineRule="auto"/>
        <w:ind w:firstLine="420" w:firstLineChars="200"/>
        <w:jc w:val="left"/>
        <w:rPr>
          <w:rFonts w:ascii="宋体" w:hAnsi="宋体"/>
          <w:color w:val="auto"/>
          <w:szCs w:val="21"/>
        </w:rPr>
      </w:pPr>
      <w:r>
        <w:rPr>
          <w:rFonts w:ascii="宋体" w:hAnsi="宋体"/>
          <w:color w:val="auto"/>
          <w:szCs w:val="21"/>
        </w:rPr>
        <w:t>16.1.1发包人违约的情形</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发包人违约的其他情形：</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left="1050" w:hanging="1050" w:hangingChars="500"/>
        <w:jc w:val="left"/>
        <w:rPr>
          <w:rFonts w:ascii="宋体" w:hAnsi="宋体"/>
          <w:color w:val="auto"/>
          <w:kern w:val="0"/>
          <w:szCs w:val="21"/>
        </w:rPr>
      </w:pPr>
      <w:r>
        <w:rPr>
          <w:rFonts w:ascii="宋体" w:hAnsi="宋体"/>
          <w:color w:val="auto"/>
          <w:kern w:val="0"/>
          <w:szCs w:val="21"/>
        </w:rPr>
        <w:t xml:space="preserve">    16.1.2 发包人违约的责任</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发包人违约责任的承担方式和计算方法：</w:t>
      </w:r>
    </w:p>
    <w:p>
      <w:pPr>
        <w:pStyle w:val="124"/>
        <w:spacing w:line="360" w:lineRule="auto"/>
        <w:ind w:firstLine="420" w:firstLineChars="200"/>
        <w:jc w:val="left"/>
        <w:rPr>
          <w:rFonts w:ascii="宋体" w:hAnsi="宋体"/>
          <w:color w:val="auto"/>
          <w:kern w:val="0"/>
          <w:szCs w:val="21"/>
          <w:u w:val="single"/>
        </w:rPr>
      </w:pPr>
      <w:r>
        <w:rPr>
          <w:rFonts w:ascii="宋体" w:hAnsi="宋体"/>
          <w:color w:val="auto"/>
          <w:kern w:val="0"/>
          <w:szCs w:val="21"/>
        </w:rPr>
        <w:t>（1）因发包人原因未能在计划开工日期前7天内下达开工通知的违约责任：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（2）因发包人原因未能按合同约定支付合同价款的违约责任：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（3）发包人违反第10.1款</w:t>
      </w:r>
      <w:r>
        <w:rPr>
          <w:rFonts w:hint="eastAsia" w:ascii="宋体" w:hAnsi="宋体"/>
          <w:color w:val="auto"/>
          <w:kern w:val="0"/>
          <w:szCs w:val="21"/>
        </w:rPr>
        <w:t>〔</w:t>
      </w:r>
      <w:r>
        <w:rPr>
          <w:rFonts w:ascii="宋体" w:hAnsi="宋体"/>
          <w:color w:val="auto"/>
          <w:kern w:val="0"/>
          <w:szCs w:val="21"/>
        </w:rPr>
        <w:t>变更的范围</w:t>
      </w:r>
      <w:r>
        <w:rPr>
          <w:rFonts w:hint="eastAsia" w:ascii="宋体" w:hAnsi="宋体"/>
          <w:color w:val="auto"/>
          <w:kern w:val="0"/>
          <w:szCs w:val="21"/>
        </w:rPr>
        <w:t>〕</w:t>
      </w:r>
      <w:r>
        <w:rPr>
          <w:rFonts w:ascii="宋体" w:hAnsi="宋体"/>
          <w:color w:val="auto"/>
          <w:kern w:val="0"/>
          <w:szCs w:val="21"/>
        </w:rPr>
        <w:t>第（2）项约定，自行实施被取消的工作或转由他人实施的违约责任：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（4）发包人提供的材料、工程设备的规格、数量或质量不符合合同约定，或因发包人原因导致交货日期延误或交货地点变更等情况的违约责任：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（5）因发包人违反合同约定造成暂停施工的违约责任：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其他：</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16.1.3 因发包人违约解除合同</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承包人按16.1.1项</w:t>
      </w:r>
      <w:r>
        <w:rPr>
          <w:rFonts w:hint="eastAsia" w:ascii="宋体" w:hAnsi="宋体"/>
          <w:color w:val="auto"/>
          <w:kern w:val="0"/>
          <w:szCs w:val="21"/>
        </w:rPr>
        <w:t>〔</w:t>
      </w:r>
      <w:r>
        <w:rPr>
          <w:rFonts w:ascii="宋体" w:hAnsi="宋体"/>
          <w:color w:val="auto"/>
          <w:kern w:val="0"/>
          <w:szCs w:val="21"/>
        </w:rPr>
        <w:t>发包人违约的情形</w:t>
      </w:r>
      <w:r>
        <w:rPr>
          <w:rFonts w:hint="eastAsia" w:ascii="宋体" w:hAnsi="宋体"/>
          <w:color w:val="auto"/>
          <w:kern w:val="0"/>
          <w:szCs w:val="21"/>
        </w:rPr>
        <w:t>〕</w:t>
      </w:r>
      <w:r>
        <w:rPr>
          <w:rFonts w:ascii="宋体" w:hAnsi="宋体"/>
          <w:color w:val="auto"/>
          <w:kern w:val="0"/>
          <w:szCs w:val="21"/>
        </w:rPr>
        <w:t>约定暂停施工满</w:t>
      </w:r>
      <w:r>
        <w:rPr>
          <w:rFonts w:ascii="宋体" w:hAnsi="宋体"/>
          <w:color w:val="auto"/>
          <w:kern w:val="0"/>
          <w:szCs w:val="21"/>
          <w:u w:val="single"/>
        </w:rPr>
        <w:t xml:space="preserve">    </w:t>
      </w:r>
      <w:r>
        <w:rPr>
          <w:rFonts w:ascii="宋体" w:hAnsi="宋体"/>
          <w:color w:val="auto"/>
          <w:kern w:val="0"/>
          <w:szCs w:val="21"/>
        </w:rPr>
        <w:t>天后发包人仍不纠正其违约行为并致使合同目的不能实现的，承包人有权解除合同。</w:t>
      </w:r>
    </w:p>
    <w:p>
      <w:pPr>
        <w:pStyle w:val="124"/>
        <w:spacing w:after="120" w:line="360" w:lineRule="auto"/>
        <w:ind w:firstLine="420" w:firstLineChars="200"/>
        <w:rPr>
          <w:rFonts w:ascii="宋体" w:hAnsi="宋体"/>
          <w:color w:val="auto"/>
          <w:szCs w:val="21"/>
        </w:rPr>
      </w:pPr>
      <w:r>
        <w:rPr>
          <w:rFonts w:ascii="宋体" w:hAnsi="宋体"/>
          <w:color w:val="auto"/>
          <w:szCs w:val="21"/>
        </w:rPr>
        <w:t>16.2 承包人违约</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16.2.1 承包人违约的情形</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承包人违约的其他情形：</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kern w:val="0"/>
          <w:szCs w:val="21"/>
        </w:rPr>
        <w:t>16.2.2承包人违约的责任</w:t>
      </w:r>
    </w:p>
    <w:p>
      <w:pPr>
        <w:pStyle w:val="124"/>
        <w:spacing w:line="360" w:lineRule="auto"/>
        <w:ind w:firstLine="420" w:firstLineChars="200"/>
        <w:jc w:val="left"/>
        <w:rPr>
          <w:rFonts w:ascii="宋体" w:hAnsi="宋体"/>
          <w:color w:val="auto"/>
          <w:kern w:val="0"/>
          <w:szCs w:val="21"/>
          <w:u w:val="single"/>
        </w:rPr>
      </w:pPr>
      <w:r>
        <w:rPr>
          <w:rFonts w:ascii="宋体" w:hAnsi="宋体"/>
          <w:color w:val="auto"/>
          <w:kern w:val="0"/>
          <w:szCs w:val="21"/>
        </w:rPr>
        <w:t>承包人违约责任的承担方式和计算方法：</w:t>
      </w:r>
      <w:r>
        <w:rPr>
          <w:rFonts w:ascii="宋体" w:hAnsi="宋体"/>
          <w:color w:val="auto"/>
          <w:kern w:val="0"/>
          <w:szCs w:val="21"/>
          <w:u w:val="single"/>
        </w:rPr>
        <w:t xml:space="preserve">                    </w:t>
      </w:r>
      <w:r>
        <w:rPr>
          <w:rFonts w:ascii="宋体" w:hAnsi="宋体"/>
          <w:color w:val="auto"/>
          <w:kern w:val="0"/>
          <w:szCs w:val="21"/>
        </w:rPr>
        <w:t>。</w:t>
      </w:r>
      <w:r>
        <w:rPr>
          <w:rFonts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16.2.3 因承包人违约解除合同</w:t>
      </w:r>
    </w:p>
    <w:p>
      <w:pPr>
        <w:pStyle w:val="124"/>
        <w:spacing w:before="120" w:after="120" w:line="360" w:lineRule="auto"/>
        <w:ind w:firstLine="420" w:firstLineChars="200"/>
        <w:rPr>
          <w:rFonts w:ascii="宋体" w:hAnsi="宋体"/>
          <w:color w:val="auto"/>
          <w:kern w:val="0"/>
          <w:szCs w:val="21"/>
        </w:rPr>
      </w:pPr>
      <w:r>
        <w:rPr>
          <w:rFonts w:ascii="宋体" w:hAnsi="宋体"/>
          <w:color w:val="auto"/>
          <w:kern w:val="0"/>
          <w:szCs w:val="21"/>
        </w:rPr>
        <w:t>关于承包人违约解除合同的特别约定：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before="120" w:after="120" w:line="360" w:lineRule="auto"/>
        <w:ind w:firstLine="420" w:firstLineChars="200"/>
        <w:rPr>
          <w:rFonts w:ascii="宋体" w:hAnsi="宋体"/>
          <w:color w:val="auto"/>
          <w:kern w:val="0"/>
          <w:szCs w:val="21"/>
        </w:rPr>
      </w:pPr>
      <w:r>
        <w:rPr>
          <w:rFonts w:ascii="宋体" w:hAnsi="宋体"/>
          <w:color w:val="auto"/>
          <w:kern w:val="0"/>
          <w:szCs w:val="21"/>
        </w:rPr>
        <w:t>发包人</w:t>
      </w:r>
      <w:r>
        <w:rPr>
          <w:rFonts w:hint="eastAsia" w:ascii="宋体" w:hAnsi="宋体"/>
          <w:color w:val="auto"/>
          <w:kern w:val="0"/>
          <w:szCs w:val="21"/>
        </w:rPr>
        <w:t>继续</w:t>
      </w:r>
      <w:r>
        <w:rPr>
          <w:rFonts w:ascii="宋体" w:hAnsi="宋体"/>
          <w:color w:val="auto"/>
          <w:kern w:val="0"/>
          <w:szCs w:val="21"/>
        </w:rPr>
        <w:t>使用承包人在施工现场的材料、设备、临时工程、承包人文件和由承包人或以其名义编制的其他文件</w:t>
      </w:r>
      <w:r>
        <w:rPr>
          <w:rFonts w:hint="eastAsia" w:ascii="宋体" w:hAnsi="宋体"/>
          <w:color w:val="auto"/>
          <w:kern w:val="0"/>
          <w:szCs w:val="21"/>
        </w:rPr>
        <w:t>的费用承担方式</w:t>
      </w:r>
      <w:r>
        <w:rPr>
          <w:rFonts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rPr>
        <w:t>。</w:t>
      </w:r>
    </w:p>
    <w:p>
      <w:pPr>
        <w:pStyle w:val="136"/>
        <w:spacing w:before="120" w:after="120" w:line="360" w:lineRule="auto"/>
        <w:outlineLvl w:val="2"/>
        <w:rPr>
          <w:rFonts w:ascii="宋体" w:hAnsi="宋体"/>
          <w:b w:val="0"/>
          <w:color w:val="auto"/>
          <w:sz w:val="21"/>
          <w:szCs w:val="21"/>
        </w:rPr>
      </w:pPr>
      <w:bookmarkStart w:id="1606" w:name="_Toc22506"/>
      <w:bookmarkStart w:id="1607" w:name="_Toc124613024"/>
      <w:bookmarkStart w:id="1608" w:name="_Toc4078416"/>
      <w:bookmarkStart w:id="1609" w:name="_Toc3339"/>
      <w:bookmarkStart w:id="1610" w:name="_Toc4504"/>
      <w:bookmarkStart w:id="1611" w:name="_Toc23647"/>
      <w:bookmarkStart w:id="1612" w:name="_Toc13048"/>
      <w:bookmarkStart w:id="1613" w:name="_Toc25137"/>
      <w:bookmarkStart w:id="1614" w:name="_Toc14654"/>
      <w:r>
        <w:rPr>
          <w:rFonts w:ascii="宋体" w:hAnsi="宋体"/>
          <w:b w:val="0"/>
          <w:color w:val="auto"/>
          <w:sz w:val="21"/>
          <w:szCs w:val="21"/>
        </w:rPr>
        <w:t>17. 不可抗力</w:t>
      </w:r>
      <w:bookmarkEnd w:id="1606"/>
      <w:bookmarkEnd w:id="1607"/>
      <w:bookmarkEnd w:id="1608"/>
      <w:bookmarkEnd w:id="1609"/>
      <w:bookmarkEnd w:id="1610"/>
      <w:bookmarkEnd w:id="1611"/>
      <w:bookmarkEnd w:id="1612"/>
      <w:bookmarkEnd w:id="1613"/>
      <w:bookmarkEnd w:id="1614"/>
      <w:r>
        <w:rPr>
          <w:rFonts w:ascii="宋体" w:hAnsi="宋体"/>
          <w:b w:val="0"/>
          <w:color w:val="auto"/>
          <w:sz w:val="21"/>
          <w:szCs w:val="21"/>
        </w:rPr>
        <w:t xml:space="preserve"> </w:t>
      </w:r>
    </w:p>
    <w:p>
      <w:pPr>
        <w:pStyle w:val="124"/>
        <w:spacing w:after="120" w:line="360" w:lineRule="auto"/>
        <w:ind w:firstLine="420" w:firstLineChars="200"/>
        <w:rPr>
          <w:rFonts w:ascii="宋体" w:hAnsi="宋体"/>
          <w:color w:val="auto"/>
          <w:szCs w:val="21"/>
        </w:rPr>
      </w:pPr>
      <w:r>
        <w:rPr>
          <w:rFonts w:ascii="宋体" w:hAnsi="宋体"/>
          <w:color w:val="auto"/>
          <w:szCs w:val="21"/>
        </w:rPr>
        <w:t>17.1 不可抗力的确认</w:t>
      </w:r>
    </w:p>
    <w:p>
      <w:pPr>
        <w:pStyle w:val="124"/>
        <w:spacing w:line="360" w:lineRule="auto"/>
        <w:ind w:firstLine="420" w:firstLineChars="200"/>
        <w:jc w:val="left"/>
        <w:rPr>
          <w:rFonts w:ascii="宋体" w:hAnsi="宋体"/>
          <w:color w:val="auto"/>
          <w:kern w:val="0"/>
          <w:szCs w:val="21"/>
          <w:u w:val="single"/>
        </w:rPr>
      </w:pPr>
      <w:r>
        <w:rPr>
          <w:rFonts w:ascii="宋体" w:hAnsi="宋体"/>
          <w:color w:val="auto"/>
          <w:szCs w:val="21"/>
        </w:rPr>
        <w:t xml:space="preserve">除通用合同条款约定的不可抗力事件之外，视为不可抗力的其他情形：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17.4 因不可抗力解除合同</w:t>
      </w:r>
    </w:p>
    <w:p>
      <w:pPr>
        <w:pStyle w:val="124"/>
        <w:spacing w:line="360" w:lineRule="auto"/>
        <w:ind w:firstLine="420" w:firstLineChars="200"/>
        <w:jc w:val="left"/>
        <w:rPr>
          <w:rFonts w:ascii="宋体" w:hAnsi="宋体"/>
          <w:color w:val="auto"/>
          <w:szCs w:val="21"/>
        </w:rPr>
      </w:pPr>
      <w:r>
        <w:rPr>
          <w:rFonts w:ascii="宋体" w:hAnsi="宋体"/>
          <w:color w:val="auto"/>
          <w:szCs w:val="21"/>
        </w:rPr>
        <w:t>合同解除后，发包人应在商定或确定发包人应支付款项后</w:t>
      </w:r>
      <w:r>
        <w:rPr>
          <w:rFonts w:ascii="宋体" w:hAnsi="宋体"/>
          <w:color w:val="auto"/>
          <w:szCs w:val="21"/>
          <w:u w:val="single"/>
        </w:rPr>
        <w:t xml:space="preserve">    </w:t>
      </w:r>
      <w:r>
        <w:rPr>
          <w:rFonts w:ascii="宋体" w:hAnsi="宋体"/>
          <w:color w:val="auto"/>
          <w:szCs w:val="21"/>
        </w:rPr>
        <w:t>天内完成款项的支付。</w:t>
      </w:r>
    </w:p>
    <w:p>
      <w:pPr>
        <w:pStyle w:val="136"/>
        <w:spacing w:before="120" w:after="120" w:line="360" w:lineRule="auto"/>
        <w:outlineLvl w:val="2"/>
        <w:rPr>
          <w:rFonts w:ascii="宋体" w:hAnsi="宋体"/>
          <w:b w:val="0"/>
          <w:color w:val="auto"/>
          <w:sz w:val="21"/>
          <w:szCs w:val="21"/>
        </w:rPr>
      </w:pPr>
      <w:bookmarkStart w:id="1615" w:name="_Toc124613025"/>
      <w:bookmarkStart w:id="1616" w:name="_Toc15601"/>
      <w:bookmarkStart w:id="1617" w:name="_Toc13125"/>
      <w:bookmarkStart w:id="1618" w:name="_Toc1328"/>
      <w:bookmarkStart w:id="1619" w:name="_Toc6511"/>
      <w:bookmarkStart w:id="1620" w:name="_Toc6628"/>
      <w:bookmarkStart w:id="1621" w:name="_Toc4078417"/>
      <w:bookmarkStart w:id="1622" w:name="_Toc29745"/>
      <w:bookmarkStart w:id="1623" w:name="_Toc27584"/>
      <w:r>
        <w:rPr>
          <w:rFonts w:ascii="宋体" w:hAnsi="宋体"/>
          <w:b w:val="0"/>
          <w:color w:val="auto"/>
          <w:sz w:val="21"/>
          <w:szCs w:val="21"/>
        </w:rPr>
        <w:t>18. 保险</w:t>
      </w:r>
      <w:bookmarkEnd w:id="1615"/>
      <w:bookmarkEnd w:id="1616"/>
      <w:bookmarkEnd w:id="1617"/>
      <w:bookmarkEnd w:id="1618"/>
      <w:bookmarkEnd w:id="1619"/>
      <w:bookmarkEnd w:id="1620"/>
      <w:bookmarkEnd w:id="1621"/>
      <w:bookmarkEnd w:id="1622"/>
      <w:bookmarkEnd w:id="1623"/>
    </w:p>
    <w:p>
      <w:pPr>
        <w:pStyle w:val="124"/>
        <w:spacing w:after="120" w:line="360" w:lineRule="auto"/>
        <w:ind w:firstLine="420" w:firstLineChars="200"/>
        <w:rPr>
          <w:rFonts w:ascii="宋体" w:hAnsi="宋体"/>
          <w:color w:val="auto"/>
          <w:szCs w:val="21"/>
        </w:rPr>
      </w:pPr>
      <w:r>
        <w:rPr>
          <w:rFonts w:ascii="宋体" w:hAnsi="宋体"/>
          <w:color w:val="auto"/>
          <w:szCs w:val="21"/>
        </w:rPr>
        <w:t>18.1 工程保险</w:t>
      </w:r>
    </w:p>
    <w:p>
      <w:pPr>
        <w:pStyle w:val="124"/>
        <w:spacing w:line="360" w:lineRule="auto"/>
        <w:ind w:firstLine="420" w:firstLineChars="200"/>
        <w:jc w:val="left"/>
        <w:rPr>
          <w:rFonts w:ascii="宋体" w:hAnsi="宋体"/>
          <w:color w:val="auto"/>
          <w:szCs w:val="21"/>
        </w:rPr>
      </w:pPr>
      <w:r>
        <w:rPr>
          <w:rFonts w:ascii="宋体" w:hAnsi="宋体"/>
          <w:color w:val="auto"/>
          <w:szCs w:val="21"/>
        </w:rPr>
        <w:t>关于工程保险的特别约定：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18.3 其他保险</w:t>
      </w:r>
    </w:p>
    <w:p>
      <w:pPr>
        <w:pStyle w:val="124"/>
        <w:spacing w:line="360" w:lineRule="auto"/>
        <w:ind w:firstLine="420" w:firstLineChars="200"/>
        <w:jc w:val="left"/>
        <w:rPr>
          <w:rFonts w:ascii="宋体" w:hAnsi="宋体"/>
          <w:color w:val="auto"/>
          <w:kern w:val="0"/>
          <w:szCs w:val="21"/>
        </w:rPr>
      </w:pPr>
      <w:r>
        <w:rPr>
          <w:rFonts w:ascii="宋体" w:hAnsi="宋体"/>
          <w:color w:val="auto"/>
          <w:szCs w:val="21"/>
        </w:rPr>
        <w:t>关于其他保险的约定：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pStyle w:val="124"/>
        <w:spacing w:line="360" w:lineRule="auto"/>
        <w:ind w:firstLine="420" w:firstLineChars="200"/>
        <w:jc w:val="left"/>
        <w:rPr>
          <w:rFonts w:ascii="宋体" w:hAnsi="宋体"/>
          <w:color w:val="auto"/>
          <w:kern w:val="0"/>
          <w:szCs w:val="21"/>
        </w:rPr>
      </w:pPr>
      <w:r>
        <w:rPr>
          <w:rFonts w:ascii="宋体" w:hAnsi="宋体"/>
          <w:color w:val="auto"/>
          <w:szCs w:val="21"/>
        </w:rPr>
        <w:t>承包人是否应为其施工设备等办理财产保险：</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18.7 通知义务</w:t>
      </w:r>
    </w:p>
    <w:p>
      <w:pPr>
        <w:pStyle w:val="124"/>
        <w:spacing w:line="360" w:lineRule="auto"/>
        <w:ind w:firstLine="420" w:firstLineChars="200"/>
        <w:jc w:val="left"/>
        <w:rPr>
          <w:rFonts w:ascii="宋体" w:hAnsi="宋体"/>
          <w:color w:val="auto"/>
          <w:szCs w:val="21"/>
        </w:rPr>
      </w:pPr>
      <w:r>
        <w:rPr>
          <w:rFonts w:ascii="宋体" w:hAnsi="宋体"/>
          <w:color w:val="auto"/>
          <w:kern w:val="0"/>
          <w:szCs w:val="21"/>
        </w:rPr>
        <w:t>关于变更保险合同时的通知义务的约定：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36"/>
        <w:spacing w:before="120" w:after="120" w:line="360" w:lineRule="auto"/>
        <w:outlineLvl w:val="2"/>
        <w:rPr>
          <w:rFonts w:ascii="宋体" w:hAnsi="宋体"/>
          <w:b w:val="0"/>
          <w:color w:val="auto"/>
          <w:sz w:val="21"/>
          <w:szCs w:val="21"/>
        </w:rPr>
      </w:pPr>
      <w:bookmarkStart w:id="1624" w:name="_Toc124613026"/>
      <w:bookmarkStart w:id="1625" w:name="_Toc11370"/>
      <w:bookmarkStart w:id="1626" w:name="_Toc10350"/>
      <w:bookmarkStart w:id="1627" w:name="_Toc5497"/>
      <w:bookmarkStart w:id="1628" w:name="_Toc30755"/>
      <w:bookmarkStart w:id="1629" w:name="_Toc18429"/>
      <w:bookmarkStart w:id="1630" w:name="_Toc4078418"/>
      <w:bookmarkStart w:id="1631" w:name="_Toc9293"/>
      <w:bookmarkStart w:id="1632" w:name="_Toc26376"/>
      <w:r>
        <w:rPr>
          <w:rFonts w:ascii="宋体" w:hAnsi="宋体"/>
          <w:b w:val="0"/>
          <w:color w:val="auto"/>
          <w:sz w:val="21"/>
          <w:szCs w:val="21"/>
        </w:rPr>
        <w:t>20. 争议解决</w:t>
      </w:r>
      <w:bookmarkEnd w:id="1624"/>
      <w:bookmarkEnd w:id="1625"/>
      <w:bookmarkEnd w:id="1626"/>
      <w:bookmarkEnd w:id="1627"/>
      <w:bookmarkEnd w:id="1628"/>
      <w:bookmarkEnd w:id="1629"/>
      <w:bookmarkEnd w:id="1630"/>
      <w:bookmarkEnd w:id="1631"/>
      <w:bookmarkEnd w:id="1632"/>
    </w:p>
    <w:p>
      <w:pPr>
        <w:pStyle w:val="124"/>
        <w:spacing w:after="120" w:line="360" w:lineRule="auto"/>
        <w:ind w:firstLine="420" w:firstLineChars="200"/>
        <w:rPr>
          <w:rFonts w:ascii="宋体" w:hAnsi="宋体"/>
          <w:color w:val="auto"/>
          <w:szCs w:val="21"/>
        </w:rPr>
      </w:pPr>
      <w:r>
        <w:rPr>
          <w:rFonts w:ascii="宋体" w:hAnsi="宋体"/>
          <w:color w:val="auto"/>
          <w:szCs w:val="21"/>
        </w:rPr>
        <w:t>20.3 争议评审</w:t>
      </w:r>
    </w:p>
    <w:p>
      <w:pPr>
        <w:pStyle w:val="124"/>
        <w:spacing w:line="360" w:lineRule="auto"/>
        <w:ind w:left="149" w:leftChars="71" w:firstLine="315" w:firstLineChars="150"/>
        <w:jc w:val="left"/>
        <w:rPr>
          <w:rFonts w:ascii="宋体" w:hAnsi="宋体"/>
          <w:color w:val="auto"/>
          <w:szCs w:val="21"/>
        </w:rPr>
      </w:pPr>
      <w:r>
        <w:rPr>
          <w:rFonts w:ascii="宋体" w:hAnsi="宋体"/>
          <w:color w:val="auto"/>
          <w:szCs w:val="21"/>
        </w:rPr>
        <w:t>合同当事人是否同意将工程争议提交争议评审小组决</w:t>
      </w:r>
      <w:r>
        <w:rPr>
          <w:rFonts w:hint="eastAsia" w:ascii="宋体" w:hAnsi="宋体"/>
          <w:color w:val="auto"/>
          <w:szCs w:val="21"/>
        </w:rPr>
        <w:t>定：</w:t>
      </w:r>
      <w:r>
        <w:rPr>
          <w:rFonts w:hint="eastAsia" w:ascii="宋体" w:hAnsi="宋体"/>
          <w:color w:val="auto"/>
          <w:szCs w:val="21"/>
          <w:u w:val="single"/>
        </w:rPr>
        <w:t xml:space="preserve">     </w:t>
      </w:r>
      <w:r>
        <w:rPr>
          <w:rFonts w:hint="eastAsia" w:ascii="宋体" w:hAnsi="宋体"/>
          <w:color w:val="auto"/>
          <w:szCs w:val="21"/>
        </w:rPr>
        <w:t xml:space="preserve">。  </w:t>
      </w:r>
    </w:p>
    <w:p>
      <w:pPr>
        <w:pStyle w:val="124"/>
        <w:spacing w:line="360" w:lineRule="auto"/>
        <w:ind w:firstLine="420" w:firstLineChars="200"/>
        <w:jc w:val="left"/>
        <w:rPr>
          <w:rFonts w:ascii="宋体" w:hAnsi="宋体"/>
          <w:color w:val="auto"/>
          <w:szCs w:val="21"/>
        </w:rPr>
      </w:pPr>
      <w:r>
        <w:rPr>
          <w:rFonts w:ascii="宋体" w:hAnsi="宋体"/>
          <w:color w:val="auto"/>
          <w:szCs w:val="21"/>
        </w:rPr>
        <w:t>20.3.1 争议评审小组的确定</w:t>
      </w:r>
    </w:p>
    <w:p>
      <w:pPr>
        <w:pStyle w:val="124"/>
        <w:spacing w:line="360" w:lineRule="auto"/>
        <w:ind w:firstLine="420" w:firstLineChars="200"/>
        <w:jc w:val="left"/>
        <w:rPr>
          <w:rFonts w:ascii="宋体" w:hAnsi="宋体"/>
          <w:color w:val="auto"/>
          <w:szCs w:val="21"/>
          <w:u w:val="single"/>
        </w:rPr>
      </w:pPr>
      <w:r>
        <w:rPr>
          <w:rFonts w:ascii="宋体" w:hAnsi="宋体"/>
          <w:color w:val="auto"/>
          <w:szCs w:val="21"/>
        </w:rPr>
        <w:t>争议评审小组成员的确定：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选定争议评审员的期限：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争议评审小组成员的报酬承担方式：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line="360" w:lineRule="auto"/>
        <w:ind w:firstLine="420" w:firstLineChars="200"/>
        <w:jc w:val="left"/>
        <w:rPr>
          <w:rFonts w:ascii="宋体" w:hAnsi="宋体"/>
          <w:color w:val="auto"/>
          <w:szCs w:val="21"/>
        </w:rPr>
      </w:pPr>
      <w:r>
        <w:rPr>
          <w:rFonts w:ascii="宋体" w:hAnsi="宋体"/>
          <w:color w:val="auto"/>
          <w:szCs w:val="21"/>
        </w:rPr>
        <w:t>其他事项的约定：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20.3.2 争议评审小组的决定</w:t>
      </w:r>
    </w:p>
    <w:p>
      <w:pPr>
        <w:pStyle w:val="124"/>
        <w:spacing w:line="360" w:lineRule="auto"/>
        <w:ind w:firstLine="420" w:firstLineChars="200"/>
        <w:jc w:val="left"/>
        <w:rPr>
          <w:rFonts w:ascii="宋体" w:hAnsi="宋体"/>
          <w:color w:val="auto"/>
          <w:szCs w:val="21"/>
        </w:rPr>
      </w:pPr>
      <w:r>
        <w:rPr>
          <w:rFonts w:ascii="宋体" w:hAnsi="宋体"/>
          <w:color w:val="auto"/>
          <w:szCs w:val="21"/>
        </w:rPr>
        <w:t>合同当事人关于本项的约定：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124"/>
        <w:spacing w:after="120" w:line="360" w:lineRule="auto"/>
        <w:ind w:firstLine="420" w:firstLineChars="200"/>
        <w:rPr>
          <w:rFonts w:ascii="宋体" w:hAnsi="宋体"/>
          <w:color w:val="auto"/>
          <w:szCs w:val="21"/>
        </w:rPr>
      </w:pPr>
      <w:r>
        <w:rPr>
          <w:rFonts w:ascii="宋体" w:hAnsi="宋体"/>
          <w:color w:val="auto"/>
          <w:szCs w:val="21"/>
        </w:rPr>
        <w:t>20.4仲裁或诉讼</w:t>
      </w:r>
    </w:p>
    <w:p>
      <w:pPr>
        <w:pStyle w:val="124"/>
        <w:spacing w:after="120" w:line="360" w:lineRule="auto"/>
        <w:ind w:firstLine="420" w:firstLineChars="200"/>
        <w:rPr>
          <w:rFonts w:ascii="宋体" w:hAnsi="宋体"/>
          <w:color w:val="auto"/>
          <w:szCs w:val="21"/>
        </w:rPr>
      </w:pPr>
      <w:r>
        <w:rPr>
          <w:rFonts w:ascii="宋体" w:hAnsi="宋体"/>
          <w:color w:val="auto"/>
          <w:szCs w:val="21"/>
        </w:rPr>
        <w:t>因合同及合同有关事项发生的争议，按下列第</w:t>
      </w:r>
      <w:r>
        <w:rPr>
          <w:rFonts w:ascii="宋体" w:hAnsi="宋体"/>
          <w:color w:val="auto"/>
          <w:szCs w:val="21"/>
          <w:u w:val="single"/>
        </w:rPr>
        <w:t xml:space="preserve">     </w:t>
      </w:r>
      <w:r>
        <w:rPr>
          <w:rFonts w:ascii="宋体" w:hAnsi="宋体"/>
          <w:color w:val="auto"/>
          <w:szCs w:val="21"/>
        </w:rPr>
        <w:t>种方式</w:t>
      </w:r>
      <w:r>
        <w:rPr>
          <w:rFonts w:hint="eastAsia" w:ascii="宋体" w:hAnsi="宋体"/>
          <w:color w:val="auto"/>
          <w:szCs w:val="21"/>
        </w:rPr>
        <w:t>解</w:t>
      </w:r>
      <w:r>
        <w:rPr>
          <w:rFonts w:ascii="宋体" w:hAnsi="宋体"/>
          <w:color w:val="auto"/>
          <w:szCs w:val="21"/>
        </w:rPr>
        <w:t>决：</w:t>
      </w:r>
    </w:p>
    <w:p>
      <w:pPr>
        <w:pStyle w:val="124"/>
        <w:spacing w:line="360" w:lineRule="auto"/>
        <w:ind w:firstLine="420" w:firstLineChars="200"/>
        <w:jc w:val="lef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pPr>
        <w:pStyle w:val="124"/>
        <w:spacing w:line="360" w:lineRule="auto"/>
        <w:ind w:firstLine="420" w:firstLineChars="200"/>
        <w:jc w:val="left"/>
        <w:rPr>
          <w:rFonts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ascii="宋体" w:hAnsi="宋体"/>
          <w:color w:val="auto"/>
          <w:szCs w:val="21"/>
        </w:rPr>
        <w:t>人民法院起诉。</w:t>
      </w:r>
    </w:p>
    <w:p>
      <w:pPr>
        <w:spacing w:line="360" w:lineRule="auto"/>
        <w:rPr>
          <w:rFonts w:ascii="宋体" w:hAnsi="宋体"/>
          <w:color w:val="auto"/>
          <w:szCs w:val="21"/>
        </w:rPr>
      </w:pPr>
      <w:r>
        <w:rPr>
          <w:rFonts w:ascii="宋体" w:hAnsi="宋体"/>
          <w:color w:val="auto"/>
          <w:szCs w:val="21"/>
        </w:rPr>
        <w:br w:type="page"/>
      </w:r>
      <w:r>
        <w:rPr>
          <w:rFonts w:hint="eastAsia" w:ascii="宋体" w:hAnsi="宋体"/>
          <w:color w:val="auto"/>
          <w:sz w:val="24"/>
        </w:rPr>
        <w:t>附件：履约保函</w:t>
      </w:r>
    </w:p>
    <w:p>
      <w:pPr>
        <w:spacing w:line="360" w:lineRule="auto"/>
        <w:jc w:val="center"/>
        <w:rPr>
          <w:rFonts w:ascii="宋体" w:hAnsi="宋体" w:cs="宋体"/>
          <w:b/>
          <w:color w:val="auto"/>
          <w:sz w:val="36"/>
          <w:szCs w:val="36"/>
        </w:rPr>
      </w:pPr>
      <w:r>
        <w:rPr>
          <w:rFonts w:hint="eastAsia" w:ascii="宋体" w:hAnsi="宋体" w:cs="宋体"/>
          <w:b/>
          <w:color w:val="auto"/>
          <w:sz w:val="32"/>
          <w:szCs w:val="32"/>
        </w:rPr>
        <w:t>履约保函</w:t>
      </w:r>
    </w:p>
    <w:p>
      <w:pPr>
        <w:spacing w:line="360" w:lineRule="auto"/>
        <w:ind w:hanging="1564"/>
        <w:jc w:val="center"/>
        <w:rPr>
          <w:rFonts w:ascii="宋体" w:hAnsi="宋体" w:cs="宋体"/>
          <w:color w:val="auto"/>
          <w:szCs w:val="21"/>
          <w:u w:val="single"/>
        </w:rPr>
      </w:pPr>
      <w:r>
        <w:rPr>
          <w:rFonts w:hint="eastAsia" w:ascii="宋体" w:hAnsi="宋体" w:cs="宋体"/>
          <w:color w:val="auto"/>
          <w:sz w:val="24"/>
        </w:rPr>
        <w:t xml:space="preserve"> </w:t>
      </w:r>
      <w:r>
        <w:rPr>
          <w:rFonts w:hint="eastAsia" w:ascii="宋体" w:hAnsi="宋体" w:cs="宋体"/>
          <w:color w:val="auto"/>
          <w:szCs w:val="21"/>
        </w:rPr>
        <w:t xml:space="preserve">                                           编号：</w:t>
      </w:r>
      <w:r>
        <w:rPr>
          <w:rFonts w:hint="eastAsia" w:ascii="宋体" w:hAnsi="宋体" w:cs="宋体"/>
          <w:color w:val="auto"/>
          <w:szCs w:val="21"/>
          <w:u w:val="single"/>
        </w:rPr>
        <w:t xml:space="preserve">                 </w:t>
      </w:r>
    </w:p>
    <w:p>
      <w:pPr>
        <w:spacing w:line="360"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招标人名称）：</w:t>
      </w:r>
    </w:p>
    <w:p>
      <w:pPr>
        <w:pStyle w:val="118"/>
        <w:tabs>
          <w:tab w:val="left" w:pos="2977"/>
        </w:tabs>
        <w:snapToGrid w:val="0"/>
        <w:spacing w:after="0" w:line="360" w:lineRule="auto"/>
        <w:ind w:firstLine="480" w:firstLineChars="200"/>
        <w:rPr>
          <w:rFonts w:hAnsi="宋体" w:cs="宋体"/>
          <w:color w:val="auto"/>
        </w:rPr>
      </w:pPr>
      <w:r>
        <w:rPr>
          <w:rFonts w:hint="eastAsia" w:hAnsi="宋体" w:cs="宋体"/>
          <w:color w:val="auto"/>
        </w:rPr>
        <w:t>鉴于本保函的申请人</w:t>
      </w:r>
      <w:r>
        <w:rPr>
          <w:rFonts w:hint="eastAsia" w:hAnsi="宋体" w:cs="宋体"/>
          <w:color w:val="auto"/>
          <w:u w:val="single"/>
        </w:rPr>
        <w:t xml:space="preserve">    </w:t>
      </w:r>
      <w:r>
        <w:rPr>
          <w:rFonts w:hint="eastAsia" w:hAnsi="宋体" w:cs="宋体"/>
          <w:color w:val="auto"/>
        </w:rPr>
        <w:t>（以下简称申请人）与贵方于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日签订了</w:t>
      </w:r>
      <w:r>
        <w:rPr>
          <w:rFonts w:hint="eastAsia" w:hAnsi="宋体" w:cs="宋体"/>
          <w:color w:val="auto"/>
          <w:u w:val="single"/>
        </w:rPr>
        <w:t xml:space="preserve">    项目施工合同</w:t>
      </w:r>
      <w:r>
        <w:rPr>
          <w:rFonts w:hint="eastAsia" w:hAnsi="宋体" w:cs="宋体"/>
          <w:color w:val="auto"/>
        </w:rPr>
        <w:t>（合同编号：</w:t>
      </w:r>
      <w:r>
        <w:rPr>
          <w:rFonts w:hint="eastAsia" w:hAnsi="宋体" w:cs="宋体"/>
          <w:color w:val="auto"/>
          <w:u w:val="single"/>
        </w:rPr>
        <w:t xml:space="preserve">            </w:t>
      </w:r>
      <w:r>
        <w:rPr>
          <w:rFonts w:hint="eastAsia" w:hAnsi="宋体" w:cs="宋体"/>
          <w:color w:val="auto"/>
        </w:rPr>
        <w:t>）。为了保证申请人充分履行合同义务，</w:t>
      </w:r>
      <w:r>
        <w:rPr>
          <w:rFonts w:hint="eastAsia" w:hAnsi="宋体" w:cs="宋体"/>
          <w:color w:val="auto"/>
          <w:lang w:val="zh-TW" w:eastAsia="zh-TW"/>
        </w:rPr>
        <w:t>按合同约定的时间完成贵方</w:t>
      </w:r>
      <w:r>
        <w:rPr>
          <w:rFonts w:hint="eastAsia" w:hAnsi="宋体" w:cs="宋体"/>
          <w:color w:val="auto"/>
          <w:lang w:val="zh-TW"/>
        </w:rPr>
        <w:t>的工程施工</w:t>
      </w:r>
      <w:r>
        <w:rPr>
          <w:rFonts w:hint="eastAsia" w:hAnsi="宋体" w:cs="宋体"/>
          <w:color w:val="auto"/>
          <w:lang w:val="zh-TW" w:eastAsia="zh-TW"/>
        </w:rPr>
        <w:t>，并经竣工验收合格移交</w:t>
      </w:r>
      <w:r>
        <w:rPr>
          <w:rFonts w:hint="eastAsia" w:hAnsi="宋体" w:cs="宋体"/>
          <w:color w:val="auto"/>
          <w:lang w:val="zh-TW"/>
        </w:rPr>
        <w:t>。</w:t>
      </w:r>
      <w:r>
        <w:rPr>
          <w:rFonts w:hint="eastAsia" w:hAnsi="宋体" w:cs="宋体"/>
          <w:color w:val="auto"/>
        </w:rPr>
        <w:t>应申请人申请，我方愿就申请人履行该合同约定的义务以保证的方式向贵方提供如下无条件的、不可撤销的履约保证：</w:t>
      </w:r>
    </w:p>
    <w:p>
      <w:pPr>
        <w:spacing w:line="360" w:lineRule="auto"/>
        <w:ind w:firstLine="480" w:firstLineChars="200"/>
        <w:rPr>
          <w:rFonts w:ascii="宋体" w:hAnsi="宋体" w:cs="宋体"/>
          <w:color w:val="auto"/>
          <w:sz w:val="24"/>
        </w:rPr>
      </w:pPr>
      <w:r>
        <w:rPr>
          <w:rFonts w:hint="eastAsia" w:ascii="宋体" w:hAnsi="宋体" w:cs="宋体"/>
          <w:color w:val="auto"/>
          <w:sz w:val="24"/>
        </w:rPr>
        <w:t>一、保证的范围及</w:t>
      </w:r>
      <w:r>
        <w:rPr>
          <w:color w:val="auto"/>
        </w:rPr>
        <w:fldChar w:fldCharType="begin"/>
      </w:r>
      <w:r>
        <w:rPr>
          <w:color w:val="auto"/>
        </w:rPr>
        <w:instrText xml:space="preserve"> HYPERLINK "https://baike.baidu.com/item/%E4%BF%9D%E8%AF%81%E9%87%91" \t "https://baike.baidu.com/item/%E6%8A%95%E6%A0%87%E4%BF%9D%E5%87%BD/_blank" </w:instrText>
      </w:r>
      <w:r>
        <w:rPr>
          <w:color w:val="auto"/>
        </w:rPr>
        <w:fldChar w:fldCharType="separate"/>
      </w:r>
      <w:r>
        <w:rPr>
          <w:rFonts w:hint="eastAsia" w:ascii="宋体" w:hAnsi="宋体" w:cs="宋体"/>
          <w:color w:val="auto"/>
          <w:sz w:val="24"/>
        </w:rPr>
        <w:t>保证金</w:t>
      </w:r>
      <w:r>
        <w:rPr>
          <w:rFonts w:hint="eastAsia" w:ascii="宋体" w:hAnsi="宋体" w:cs="宋体"/>
          <w:color w:val="auto"/>
          <w:sz w:val="24"/>
        </w:rPr>
        <w:fldChar w:fldCharType="end"/>
      </w:r>
      <w:r>
        <w:rPr>
          <w:rFonts w:hint="eastAsia" w:ascii="宋体" w:hAnsi="宋体" w:cs="宋体"/>
          <w:color w:val="auto"/>
          <w:sz w:val="24"/>
        </w:rPr>
        <w:t>额</w:t>
      </w:r>
    </w:p>
    <w:p>
      <w:pPr>
        <w:spacing w:line="360" w:lineRule="auto"/>
        <w:ind w:firstLine="480" w:firstLineChars="200"/>
        <w:rPr>
          <w:rFonts w:ascii="宋体" w:hAnsi="宋体" w:cs="宋体"/>
          <w:color w:val="auto"/>
          <w:sz w:val="24"/>
        </w:rPr>
      </w:pPr>
      <w:r>
        <w:rPr>
          <w:rFonts w:hint="eastAsia" w:ascii="宋体" w:hAnsi="宋体" w:cs="宋体"/>
          <w:color w:val="auto"/>
          <w:sz w:val="24"/>
        </w:rPr>
        <w:t>1.本保函受益人为贵方，保函性质为见索即付的独立保函。</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Style w:val="85"/>
          <w:rFonts w:hint="eastAsia"/>
          <w:color w:val="auto"/>
        </w:rPr>
        <w:t>在本保函</w:t>
      </w:r>
      <w:r>
        <w:rPr>
          <w:rFonts w:hint="eastAsia" w:ascii="宋体" w:hAnsi="宋体" w:cs="宋体"/>
          <w:color w:val="auto"/>
          <w:sz w:val="24"/>
        </w:rPr>
        <w:t>保证期内，如果申请人不能履行合同或违约，我方将在收到贵方要求支付部分或全部保证金的通知时，将于7个工作日内无条件和不可改变地向贵方支付贵方要求的金额，并放弃任何向贵方提出异议和追索的权力。</w:t>
      </w:r>
    </w:p>
    <w:p>
      <w:pPr>
        <w:spacing w:line="360" w:lineRule="auto"/>
        <w:ind w:firstLine="480" w:firstLineChars="200"/>
        <w:rPr>
          <w:rFonts w:ascii="宋体" w:hAnsi="宋体" w:cs="宋体"/>
          <w:color w:val="auto"/>
          <w:sz w:val="24"/>
        </w:rPr>
      </w:pPr>
      <w:r>
        <w:rPr>
          <w:rFonts w:hint="eastAsia" w:ascii="宋体" w:hAnsi="宋体" w:cs="宋体"/>
          <w:color w:val="auto"/>
          <w:sz w:val="24"/>
        </w:rPr>
        <w:t>3.我方保证的履约保证金金额大写为人民币</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w:t>
      </w:r>
    </w:p>
    <w:p>
      <w:pPr>
        <w:spacing w:line="360" w:lineRule="auto"/>
        <w:ind w:firstLine="480" w:firstLineChars="200"/>
        <w:rPr>
          <w:rFonts w:ascii="宋体" w:hAnsi="宋体" w:cs="宋体"/>
          <w:color w:val="auto"/>
          <w:sz w:val="24"/>
        </w:rPr>
      </w:pPr>
      <w:r>
        <w:rPr>
          <w:rFonts w:hint="eastAsia" w:ascii="宋体" w:hAnsi="宋体" w:cs="宋体"/>
          <w:color w:val="auto"/>
          <w:sz w:val="24"/>
        </w:rPr>
        <w:t>二、保证的方式及保证期间</w:t>
      </w:r>
    </w:p>
    <w:p>
      <w:pPr>
        <w:spacing w:line="360" w:lineRule="auto"/>
        <w:ind w:firstLine="480" w:firstLineChars="200"/>
        <w:rPr>
          <w:rFonts w:ascii="宋体" w:hAnsi="宋体" w:cs="宋体"/>
          <w:color w:val="auto"/>
          <w:sz w:val="24"/>
        </w:rPr>
      </w:pPr>
      <w:r>
        <w:rPr>
          <w:rFonts w:hint="eastAsia" w:ascii="宋体" w:hAnsi="宋体" w:cs="宋体"/>
          <w:color w:val="auto"/>
          <w:sz w:val="24"/>
        </w:rPr>
        <w:t>我方保证的方式为：</w:t>
      </w:r>
      <w:r>
        <w:rPr>
          <w:color w:val="auto"/>
        </w:rPr>
        <w:fldChar w:fldCharType="begin"/>
      </w:r>
      <w:r>
        <w:rPr>
          <w:color w:val="auto"/>
        </w:rPr>
        <w:instrText xml:space="preserve"> HYPERLINK "https://baike.baidu.com/item/%E8%BF%9E%E5%B8%A6%E8%B4%A3%E4%BB%BB%E4%BF%9D%E8%AF%81" \t "https://baike.baidu.com/item/%E6%8A%95%E6%A0%87%E4%BF%9D%E5%87%BD/_blank" </w:instrText>
      </w:r>
      <w:r>
        <w:rPr>
          <w:color w:val="auto"/>
        </w:rPr>
        <w:fldChar w:fldCharType="separate"/>
      </w:r>
      <w:r>
        <w:rPr>
          <w:rFonts w:hint="eastAsia" w:ascii="宋体" w:hAnsi="宋体" w:cs="宋体"/>
          <w:color w:val="auto"/>
          <w:sz w:val="24"/>
        </w:rPr>
        <w:t>连带责任保证</w:t>
      </w:r>
      <w:r>
        <w:rPr>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我方的保证期间为：自本保函生效之日起至合同终止后30日止。</w:t>
      </w:r>
    </w:p>
    <w:p>
      <w:pPr>
        <w:spacing w:line="360" w:lineRule="auto"/>
        <w:ind w:firstLine="480" w:firstLineChars="200"/>
        <w:rPr>
          <w:rFonts w:ascii="宋体" w:hAnsi="宋体" w:cs="宋体"/>
          <w:color w:val="auto"/>
          <w:sz w:val="24"/>
        </w:rPr>
      </w:pPr>
      <w:r>
        <w:rPr>
          <w:rFonts w:hint="eastAsia" w:ascii="宋体" w:hAnsi="宋体" w:cs="宋体"/>
          <w:color w:val="auto"/>
          <w:sz w:val="24"/>
        </w:rPr>
        <w:t>如主合同期需延长，经我方书面同意后，本保函的保证期间应作相应调整。</w:t>
      </w:r>
    </w:p>
    <w:p>
      <w:pPr>
        <w:spacing w:line="360" w:lineRule="auto"/>
        <w:ind w:firstLine="480" w:firstLineChars="200"/>
        <w:rPr>
          <w:rFonts w:ascii="宋体" w:hAnsi="宋体" w:cs="宋体"/>
          <w:color w:val="auto"/>
          <w:sz w:val="24"/>
        </w:rPr>
      </w:pPr>
      <w:r>
        <w:rPr>
          <w:rFonts w:hint="eastAsia" w:ascii="宋体" w:hAnsi="宋体" w:cs="宋体"/>
          <w:color w:val="auto"/>
          <w:sz w:val="24"/>
        </w:rPr>
        <w:t>三、承担</w:t>
      </w:r>
      <w:r>
        <w:rPr>
          <w:color w:val="auto"/>
        </w:rPr>
        <w:fldChar w:fldCharType="begin"/>
      </w:r>
      <w:r>
        <w:rPr>
          <w:color w:val="auto"/>
        </w:rPr>
        <w:instrText xml:space="preserve"> HYPERLINK "https://baike.baidu.com/item/%E4%BF%9D%E8%AF%81%E8%B4%A3%E4%BB%BB" \t "https://baike.baidu.com/item/%E6%8A%95%E6%A0%87%E4%BF%9D%E5%87%BD/_blank" </w:instrText>
      </w:r>
      <w:r>
        <w:rPr>
          <w:color w:val="auto"/>
        </w:rPr>
        <w:fldChar w:fldCharType="separate"/>
      </w:r>
      <w:r>
        <w:rPr>
          <w:rFonts w:hint="eastAsia" w:ascii="宋体" w:hAnsi="宋体" w:cs="宋体"/>
          <w:color w:val="auto"/>
          <w:sz w:val="24"/>
        </w:rPr>
        <w:t>保证责任</w:t>
      </w:r>
      <w:r>
        <w:rPr>
          <w:rFonts w:hint="eastAsia" w:ascii="宋体" w:hAnsi="宋体" w:cs="宋体"/>
          <w:color w:val="auto"/>
          <w:sz w:val="24"/>
        </w:rPr>
        <w:fldChar w:fldCharType="end"/>
      </w:r>
      <w:r>
        <w:rPr>
          <w:rFonts w:hint="eastAsia" w:ascii="宋体" w:hAnsi="宋体" w:cs="宋体"/>
          <w:color w:val="auto"/>
          <w:sz w:val="24"/>
        </w:rPr>
        <w:t>的形式</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我方按照贵方的要求以下列方式之一承担保证责任：代申请人向贵方支付</w:t>
      </w:r>
      <w:r>
        <w:rPr>
          <w:color w:val="auto"/>
        </w:rPr>
        <w:fldChar w:fldCharType="begin"/>
      </w:r>
      <w:r>
        <w:rPr>
          <w:color w:val="auto"/>
        </w:rPr>
        <w:instrText xml:space="preserve"> HYPERLINK "https://baike.baidu.com/item/%E6%8A%95%E6%A0%87%E4%BF%9D%E8%AF%81%E9%87%91" \t "https://baike.baidu.com/item/%E6%8A%95%E6%A0%87%E4%BF%9D%E5%87%BD/_blank" </w:instrText>
      </w:r>
      <w:r>
        <w:rPr>
          <w:color w:val="auto"/>
        </w:rPr>
        <w:fldChar w:fldCharType="separate"/>
      </w:r>
      <w:r>
        <w:rPr>
          <w:rFonts w:hint="eastAsia" w:ascii="宋体" w:hAnsi="宋体" w:cs="宋体"/>
          <w:color w:val="auto"/>
          <w:sz w:val="24"/>
        </w:rPr>
        <w:t>履约保证金</w:t>
      </w:r>
      <w:r>
        <w:rPr>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四、代偿的安排</w:t>
      </w:r>
    </w:p>
    <w:p>
      <w:pPr>
        <w:spacing w:line="360" w:lineRule="auto"/>
        <w:ind w:firstLine="480" w:firstLineChars="200"/>
        <w:rPr>
          <w:rFonts w:ascii="宋体" w:hAnsi="宋体" w:cs="宋体"/>
          <w:color w:val="auto"/>
          <w:sz w:val="24"/>
        </w:rPr>
      </w:pPr>
      <w:r>
        <w:rPr>
          <w:rFonts w:hint="eastAsia" w:ascii="宋体" w:hAnsi="宋体" w:cs="宋体"/>
          <w:color w:val="auto"/>
          <w:sz w:val="24"/>
        </w:rPr>
        <w:t>贵方要求我方承担</w:t>
      </w:r>
      <w:r>
        <w:rPr>
          <w:color w:val="auto"/>
        </w:rPr>
        <w:fldChar w:fldCharType="begin"/>
      </w:r>
      <w:r>
        <w:rPr>
          <w:color w:val="auto"/>
        </w:rPr>
        <w:instrText xml:space="preserve"> HYPERLINK "https://baike.baidu.com/item/%E4%BF%9D%E8%AF%81%E8%B4%A3%E4%BB%BB" \t "https://baike.baidu.com/item/%E6%8A%95%E6%A0%87%E4%BF%9D%E5%87%BD/_blank" </w:instrText>
      </w:r>
      <w:r>
        <w:rPr>
          <w:color w:val="auto"/>
        </w:rPr>
        <w:fldChar w:fldCharType="separate"/>
      </w:r>
      <w:r>
        <w:rPr>
          <w:rFonts w:hint="eastAsia" w:ascii="宋体" w:hAnsi="宋体" w:cs="宋体"/>
          <w:color w:val="auto"/>
          <w:sz w:val="24"/>
        </w:rPr>
        <w:t>保证责任</w:t>
      </w:r>
      <w:r>
        <w:rPr>
          <w:rFonts w:hint="eastAsia" w:ascii="宋体" w:hAnsi="宋体" w:cs="宋体"/>
          <w:color w:val="auto"/>
          <w:sz w:val="24"/>
        </w:rPr>
        <w:fldChar w:fldCharType="end"/>
      </w:r>
      <w:r>
        <w:rPr>
          <w:rFonts w:hint="eastAsia" w:ascii="宋体" w:hAnsi="宋体" w:cs="宋体"/>
          <w:color w:val="auto"/>
          <w:sz w:val="24"/>
        </w:rPr>
        <w:t>的，应向我方发出书面索赔通知。索赔通知应写明要求索赔的金额，支付款项应到达的账号，并附有说明申请人违约造成贵方</w:t>
      </w:r>
      <w:r>
        <w:rPr>
          <w:color w:val="auto"/>
        </w:rPr>
        <w:fldChar w:fldCharType="begin"/>
      </w:r>
      <w:r>
        <w:rPr>
          <w:color w:val="auto"/>
        </w:rPr>
        <w:instrText xml:space="preserve"> HYPERLINK "https://baike.baidu.com/item/%E6%8D%9F%E5%A4%B1" \t "https://baike.baidu.com/item/%E6%8A%95%E6%A0%87%E4%BF%9D%E5%87%BD/_blank" </w:instrText>
      </w:r>
      <w:r>
        <w:rPr>
          <w:color w:val="auto"/>
        </w:rPr>
        <w:fldChar w:fldCharType="separate"/>
      </w:r>
      <w:r>
        <w:rPr>
          <w:rFonts w:hint="eastAsia" w:ascii="宋体" w:hAnsi="宋体" w:cs="宋体"/>
          <w:color w:val="auto"/>
          <w:sz w:val="24"/>
        </w:rPr>
        <w:t>损失</w:t>
      </w:r>
      <w:r>
        <w:rPr>
          <w:rFonts w:hint="eastAsia" w:ascii="宋体" w:hAnsi="宋体" w:cs="宋体"/>
          <w:color w:val="auto"/>
          <w:sz w:val="24"/>
        </w:rPr>
        <w:fldChar w:fldCharType="end"/>
      </w:r>
      <w:r>
        <w:rPr>
          <w:rFonts w:hint="eastAsia" w:ascii="宋体" w:hAnsi="宋体" w:cs="宋体"/>
          <w:color w:val="auto"/>
          <w:sz w:val="24"/>
        </w:rPr>
        <w:t>情况的说明材料项目所在地建设行政主管部门的批准文件。</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我方收到贵方的书面索赔通知及相关说明材料后，在7个工作日内无条件和不可改变地向贵方支付索赔金额，并放弃任何向贵方提出异议和追索的权力。</w:t>
      </w:r>
    </w:p>
    <w:p>
      <w:pPr>
        <w:spacing w:line="360" w:lineRule="auto"/>
        <w:ind w:firstLine="480" w:firstLineChars="200"/>
        <w:rPr>
          <w:rFonts w:ascii="宋体" w:hAnsi="宋体" w:cs="宋体"/>
          <w:color w:val="auto"/>
          <w:sz w:val="24"/>
        </w:rPr>
      </w:pPr>
      <w:r>
        <w:rPr>
          <w:rFonts w:hint="eastAsia" w:ascii="宋体" w:hAnsi="宋体" w:cs="宋体"/>
          <w:color w:val="auto"/>
          <w:sz w:val="24"/>
        </w:rPr>
        <w:t>五、保证责任的解除</w:t>
      </w:r>
    </w:p>
    <w:p>
      <w:pPr>
        <w:spacing w:line="360" w:lineRule="auto"/>
        <w:ind w:firstLine="480" w:firstLineChars="200"/>
        <w:rPr>
          <w:rFonts w:ascii="宋体" w:hAnsi="宋体" w:cs="宋体"/>
          <w:color w:val="auto"/>
          <w:sz w:val="24"/>
        </w:rPr>
      </w:pPr>
      <w:r>
        <w:rPr>
          <w:rFonts w:hint="eastAsia" w:ascii="宋体" w:hAnsi="宋体" w:cs="宋体"/>
          <w:color w:val="auto"/>
          <w:sz w:val="24"/>
        </w:rPr>
        <w:t>1、保证期间届满贵方未向我方书面主张保证责任的，自保证期间届满次日起，我方解除保证责任。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2、我方按照本保函向贵方履行了保证责任后，自我方向贵方支付（支付款项从我方账户划出）之日起，保证责任即解除。</w:t>
      </w:r>
    </w:p>
    <w:p>
      <w:pPr>
        <w:spacing w:line="360" w:lineRule="auto"/>
        <w:ind w:firstLine="480" w:firstLineChars="200"/>
        <w:rPr>
          <w:rFonts w:ascii="宋体" w:hAnsi="宋体" w:cs="宋体"/>
          <w:color w:val="auto"/>
          <w:sz w:val="24"/>
        </w:rPr>
      </w:pPr>
      <w:r>
        <w:rPr>
          <w:rFonts w:hint="eastAsia" w:ascii="宋体" w:hAnsi="宋体" w:cs="宋体"/>
          <w:color w:val="auto"/>
          <w:sz w:val="24"/>
        </w:rPr>
        <w:t>3、按照法律法规的规定或出现应解除我方</w:t>
      </w:r>
      <w:r>
        <w:rPr>
          <w:color w:val="auto"/>
        </w:rPr>
        <w:fldChar w:fldCharType="begin"/>
      </w:r>
      <w:r>
        <w:rPr>
          <w:color w:val="auto"/>
        </w:rPr>
        <w:instrText xml:space="preserve"> HYPERLINK "https://baike.baidu.com/item/%E4%BF%9D%E8%AF%81%E8%B4%A3%E4%BB%BB" \t "https://baike.baidu.com/item/%E6%8A%95%E6%A0%87%E4%BF%9D%E5%87%BD/_blank" </w:instrText>
      </w:r>
      <w:r>
        <w:rPr>
          <w:color w:val="auto"/>
        </w:rPr>
        <w:fldChar w:fldCharType="separate"/>
      </w:r>
      <w:r>
        <w:rPr>
          <w:rFonts w:hint="eastAsia" w:ascii="宋体" w:hAnsi="宋体" w:cs="宋体"/>
          <w:color w:val="auto"/>
          <w:sz w:val="24"/>
        </w:rPr>
        <w:t>保证责任的其他情形</w:t>
      </w:r>
      <w:r>
        <w:rPr>
          <w:rFonts w:hint="eastAsia" w:ascii="宋体" w:hAnsi="宋体" w:cs="宋体"/>
          <w:color w:val="auto"/>
          <w:sz w:val="24"/>
        </w:rPr>
        <w:fldChar w:fldCharType="end"/>
      </w:r>
      <w:r>
        <w:rPr>
          <w:rFonts w:hint="eastAsia" w:ascii="宋体" w:hAnsi="宋体" w:cs="宋体"/>
          <w:color w:val="auto"/>
          <w:sz w:val="24"/>
        </w:rPr>
        <w:t>的，我方在本保函项下的保证责任亦解除。</w:t>
      </w:r>
    </w:p>
    <w:p>
      <w:pPr>
        <w:spacing w:line="360" w:lineRule="auto"/>
        <w:ind w:firstLine="480" w:firstLineChars="200"/>
        <w:rPr>
          <w:rFonts w:ascii="宋体" w:hAnsi="宋体" w:cs="宋体"/>
          <w:color w:val="auto"/>
          <w:sz w:val="24"/>
        </w:rPr>
      </w:pPr>
      <w:r>
        <w:rPr>
          <w:rFonts w:hint="eastAsia" w:ascii="宋体" w:hAnsi="宋体" w:cs="宋体"/>
          <w:color w:val="auto"/>
          <w:sz w:val="24"/>
        </w:rPr>
        <w:t>我方解除保证责任后，贵方应按上述约定，自我方保证责任解除之日起7个工作日内，将本保函原件返还我方注销。</w:t>
      </w:r>
    </w:p>
    <w:p>
      <w:pPr>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六、</w:t>
      </w:r>
      <w:r>
        <w:rPr>
          <w:rFonts w:hint="eastAsia" w:ascii="宋体" w:hAnsi="宋体" w:cs="宋体"/>
          <w:bCs/>
          <w:snapToGrid w:val="0"/>
          <w:color w:val="auto"/>
          <w:kern w:val="0"/>
          <w:sz w:val="24"/>
        </w:rPr>
        <w:t>本保函项下权利不得转让，不得设定担保。</w:t>
      </w:r>
      <w:r>
        <w:rPr>
          <w:rFonts w:hint="eastAsia" w:ascii="宋体" w:hAnsi="宋体" w:cs="宋体"/>
          <w:color w:val="auto"/>
          <w:sz w:val="24"/>
        </w:rPr>
        <w:t>贵方</w:t>
      </w:r>
      <w:r>
        <w:rPr>
          <w:rFonts w:hint="eastAsia" w:ascii="宋体" w:hAnsi="宋体" w:cs="宋体"/>
          <w:bCs/>
          <w:snapToGrid w:val="0"/>
          <w:color w:val="auto"/>
          <w:kern w:val="0"/>
          <w:sz w:val="24"/>
        </w:rPr>
        <w:t>未经</w:t>
      </w:r>
      <w:r>
        <w:rPr>
          <w:rFonts w:hint="eastAsia" w:ascii="宋体" w:hAnsi="宋体" w:cs="宋体"/>
          <w:color w:val="auto"/>
          <w:sz w:val="24"/>
        </w:rPr>
        <w:t>我方</w:t>
      </w:r>
      <w:r>
        <w:rPr>
          <w:rFonts w:hint="eastAsia" w:ascii="宋体" w:hAnsi="宋体" w:cs="宋体"/>
          <w:bCs/>
          <w:snapToGrid w:val="0"/>
          <w:color w:val="auto"/>
          <w:kern w:val="0"/>
          <w:sz w:val="24"/>
        </w:rPr>
        <w:t>书面同意转让本保函或其项下任何权利，</w:t>
      </w:r>
      <w:r>
        <w:rPr>
          <w:rFonts w:hint="eastAsia" w:ascii="宋体" w:hAnsi="宋体" w:cs="宋体"/>
          <w:color w:val="auto"/>
          <w:sz w:val="24"/>
        </w:rPr>
        <w:t>我方</w:t>
      </w:r>
      <w:r>
        <w:rPr>
          <w:rFonts w:hint="eastAsia" w:ascii="宋体" w:hAnsi="宋体" w:cs="宋体"/>
          <w:bCs/>
          <w:snapToGrid w:val="0"/>
          <w:color w:val="auto"/>
          <w:kern w:val="0"/>
          <w:sz w:val="24"/>
        </w:rPr>
        <w:t>在本保函项下的义务与责任全部终止</w:t>
      </w:r>
      <w:r>
        <w:rPr>
          <w:rFonts w:hint="eastAsia" w:ascii="宋体" w:hAnsi="宋体" w:cs="宋体"/>
          <w:snapToGrid w:val="0"/>
          <w:color w:val="auto"/>
          <w:kern w:val="0"/>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七、免责条款</w:t>
      </w:r>
    </w:p>
    <w:p>
      <w:pPr>
        <w:spacing w:line="360" w:lineRule="auto"/>
        <w:ind w:firstLine="480" w:firstLineChars="200"/>
        <w:rPr>
          <w:rFonts w:ascii="宋体" w:hAnsi="宋体" w:cs="宋体"/>
          <w:color w:val="auto"/>
          <w:sz w:val="24"/>
        </w:rPr>
      </w:pPr>
      <w:r>
        <w:rPr>
          <w:rFonts w:hint="eastAsia" w:ascii="宋体" w:hAnsi="宋体" w:cs="宋体"/>
          <w:color w:val="auto"/>
          <w:sz w:val="24"/>
        </w:rPr>
        <w:t>1、因贵方违约致使申请人不能履行义务的，我方不承担保证责任。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2、依照法律规定或贵方与申请人的另行约定，免除申请人部分或全部义务的，我方亦免除其相应的保证责任。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3、因不可抗力造成申请人不能履行义务的，我方不承担保证责任。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八、争议的解决</w:t>
      </w:r>
    </w:p>
    <w:p>
      <w:pPr>
        <w:spacing w:line="360" w:lineRule="auto"/>
        <w:ind w:firstLine="480" w:firstLineChars="200"/>
        <w:rPr>
          <w:rFonts w:ascii="宋体" w:hAnsi="宋体" w:cs="宋体"/>
          <w:color w:val="auto"/>
          <w:sz w:val="24"/>
        </w:rPr>
      </w:pPr>
      <w:r>
        <w:rPr>
          <w:rFonts w:hint="eastAsia" w:ascii="宋体" w:hAnsi="宋体" w:cs="宋体"/>
          <w:color w:val="auto"/>
          <w:sz w:val="24"/>
        </w:rPr>
        <w:t>因本保函发生的纠纷，由贵我双方协商解决，协商不成的，通过诉讼程序解决，诉讼管辖地法院为项目所在地法院。</w:t>
      </w:r>
    </w:p>
    <w:p>
      <w:pPr>
        <w:spacing w:line="360" w:lineRule="auto"/>
        <w:ind w:firstLine="480" w:firstLineChars="200"/>
        <w:rPr>
          <w:rFonts w:ascii="宋体" w:hAnsi="宋体" w:cs="宋体"/>
          <w:color w:val="auto"/>
          <w:sz w:val="24"/>
        </w:rPr>
      </w:pPr>
      <w:r>
        <w:rPr>
          <w:rFonts w:hint="eastAsia" w:ascii="宋体" w:hAnsi="宋体" w:cs="宋体"/>
          <w:color w:val="auto"/>
          <w:sz w:val="24"/>
        </w:rPr>
        <w:t>九、保函的生效</w:t>
      </w:r>
    </w:p>
    <w:p>
      <w:pPr>
        <w:spacing w:line="360" w:lineRule="auto"/>
        <w:ind w:firstLine="480" w:firstLineChars="200"/>
        <w:rPr>
          <w:rFonts w:ascii="宋体" w:hAnsi="宋体" w:cs="宋体"/>
          <w:color w:val="auto"/>
          <w:sz w:val="24"/>
        </w:rPr>
      </w:pPr>
      <w:r>
        <w:rPr>
          <w:rFonts w:hint="eastAsia" w:ascii="宋体" w:hAnsi="宋体" w:cs="宋体"/>
          <w:color w:val="auto"/>
          <w:sz w:val="24"/>
        </w:rPr>
        <w:t>本保函自我方法定代表人签字并加盖公章之日起生效。</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5056" w:firstLineChars="2107"/>
        <w:rPr>
          <w:rFonts w:ascii="宋体" w:hAnsi="宋体" w:cs="宋体"/>
          <w:color w:val="auto"/>
          <w:sz w:val="24"/>
        </w:rPr>
      </w:pPr>
      <w:r>
        <w:rPr>
          <w:rFonts w:hint="eastAsia" w:ascii="宋体" w:hAnsi="宋体" w:cs="宋体"/>
          <w:color w:val="auto"/>
          <w:sz w:val="24"/>
        </w:rPr>
        <w:t>担保人：（公章）</w:t>
      </w:r>
    </w:p>
    <w:p>
      <w:pPr>
        <w:spacing w:line="360" w:lineRule="auto"/>
        <w:ind w:firstLine="5056" w:firstLineChars="2107"/>
        <w:rPr>
          <w:rFonts w:ascii="宋体" w:hAnsi="宋体" w:cs="宋体"/>
          <w:color w:val="auto"/>
          <w:sz w:val="24"/>
        </w:rPr>
      </w:pPr>
      <w:r>
        <w:rPr>
          <w:rFonts w:hint="eastAsia" w:ascii="宋体" w:hAnsi="宋体" w:cs="宋体"/>
          <w:color w:val="auto"/>
          <w:sz w:val="24"/>
        </w:rPr>
        <w:t>法定代表人：（签字）</w:t>
      </w:r>
    </w:p>
    <w:p>
      <w:pPr>
        <w:spacing w:line="360" w:lineRule="auto"/>
        <w:ind w:firstLine="5056" w:firstLineChars="2107"/>
        <w:rPr>
          <w:rFonts w:ascii="宋体" w:hAnsi="宋体" w:cs="宋体"/>
          <w:color w:val="auto"/>
          <w:sz w:val="24"/>
        </w:rPr>
      </w:pPr>
      <w:r>
        <w:rPr>
          <w:rFonts w:hint="eastAsia" w:ascii="宋体" w:hAnsi="宋体" w:cs="宋体"/>
          <w:color w:val="auto"/>
          <w:sz w:val="24"/>
        </w:rPr>
        <w:t>开立日期：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Cs w:val="21"/>
        </w:rPr>
      </w:pPr>
      <w:r>
        <w:rPr>
          <w:rFonts w:hint="eastAsia" w:ascii="宋体" w:hAnsi="宋体"/>
          <w:color w:val="auto"/>
          <w:sz w:val="24"/>
        </w:rPr>
        <w:t>附件：履约保证保险</w:t>
      </w:r>
    </w:p>
    <w:p>
      <w:pPr>
        <w:spacing w:line="360" w:lineRule="auto"/>
        <w:jc w:val="center"/>
        <w:rPr>
          <w:rFonts w:ascii="宋体" w:hAnsi="宋体" w:cs="宋体"/>
          <w:b/>
          <w:color w:val="auto"/>
          <w:sz w:val="36"/>
          <w:szCs w:val="36"/>
        </w:rPr>
      </w:pPr>
      <w:r>
        <w:rPr>
          <w:rFonts w:hint="eastAsia" w:ascii="宋体" w:hAnsi="宋体" w:cs="宋体"/>
          <w:b/>
          <w:color w:val="auto"/>
          <w:sz w:val="32"/>
          <w:szCs w:val="32"/>
        </w:rPr>
        <w:t>履约保证保险</w:t>
      </w:r>
    </w:p>
    <w:p>
      <w:pPr>
        <w:spacing w:line="360" w:lineRule="auto"/>
        <w:ind w:hanging="1564"/>
        <w:jc w:val="center"/>
        <w:rPr>
          <w:rFonts w:ascii="宋体" w:hAnsi="宋体" w:cs="宋体"/>
          <w:color w:val="auto"/>
          <w:szCs w:val="21"/>
          <w:u w:val="single"/>
        </w:rPr>
      </w:pPr>
      <w:r>
        <w:rPr>
          <w:rFonts w:hint="eastAsia" w:ascii="宋体" w:hAnsi="宋体" w:cs="宋体"/>
          <w:color w:val="auto"/>
          <w:sz w:val="24"/>
        </w:rPr>
        <w:t xml:space="preserve"> </w:t>
      </w:r>
      <w:r>
        <w:rPr>
          <w:rFonts w:hint="eastAsia" w:ascii="宋体" w:hAnsi="宋体" w:cs="宋体"/>
          <w:color w:val="auto"/>
          <w:szCs w:val="21"/>
        </w:rPr>
        <w:t xml:space="preserve">                                           编号：</w:t>
      </w:r>
      <w:r>
        <w:rPr>
          <w:rFonts w:hint="eastAsia" w:ascii="宋体" w:hAnsi="宋体" w:cs="宋体"/>
          <w:color w:val="auto"/>
          <w:szCs w:val="21"/>
          <w:u w:val="single"/>
        </w:rPr>
        <w:t xml:space="preserve">                 </w:t>
      </w:r>
    </w:p>
    <w:p>
      <w:pPr>
        <w:spacing w:line="360" w:lineRule="auto"/>
        <w:rPr>
          <w:rFonts w:ascii="宋体" w:hAnsi="宋体" w:cs="宋体"/>
          <w:color w:val="auto"/>
          <w:sz w:val="24"/>
        </w:rPr>
      </w:pPr>
      <w:r>
        <w:rPr>
          <w:rFonts w:hint="eastAsia" w:ascii="宋体" w:hAnsi="宋体" w:cs="宋体"/>
          <w:color w:val="auto"/>
          <w:sz w:val="24"/>
        </w:rPr>
        <w:t>被保险人：</w:t>
      </w:r>
      <w:r>
        <w:rPr>
          <w:rFonts w:hint="eastAsia" w:ascii="宋体" w:hAnsi="宋体" w:cs="宋体"/>
          <w:color w:val="auto"/>
          <w:sz w:val="24"/>
          <w:u w:val="single"/>
        </w:rPr>
        <w:t xml:space="preserve">                                        </w:t>
      </w:r>
      <w:r>
        <w:rPr>
          <w:rFonts w:hint="eastAsia" w:ascii="宋体" w:hAnsi="宋体" w:cs="宋体"/>
          <w:color w:val="auto"/>
          <w:sz w:val="24"/>
        </w:rPr>
        <w:t>：</w:t>
      </w:r>
    </w:p>
    <w:p>
      <w:pPr>
        <w:pStyle w:val="118"/>
        <w:tabs>
          <w:tab w:val="left" w:pos="2977"/>
        </w:tabs>
        <w:snapToGrid w:val="0"/>
        <w:spacing w:after="0" w:line="360" w:lineRule="auto"/>
        <w:ind w:firstLine="480" w:firstLineChars="200"/>
        <w:rPr>
          <w:rFonts w:hAnsi="宋体" w:cs="宋体"/>
          <w:color w:val="auto"/>
        </w:rPr>
      </w:pPr>
      <w:r>
        <w:rPr>
          <w:rFonts w:hint="eastAsia" w:hAnsi="宋体" w:cs="宋体"/>
          <w:color w:val="auto"/>
        </w:rPr>
        <w:t>鉴于本保险的投保人</w:t>
      </w:r>
      <w:r>
        <w:rPr>
          <w:rFonts w:hint="eastAsia" w:hAnsi="宋体" w:cs="宋体"/>
          <w:color w:val="auto"/>
          <w:u w:val="single"/>
        </w:rPr>
        <w:t xml:space="preserve">                                               </w:t>
      </w:r>
      <w:r>
        <w:rPr>
          <w:rFonts w:hint="eastAsia" w:hAnsi="宋体" w:cs="宋体"/>
          <w:color w:val="auto"/>
        </w:rPr>
        <w:t>（以下简称申请人）与贵方于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日签订了</w:t>
      </w:r>
      <w:r>
        <w:rPr>
          <w:rFonts w:hint="eastAsia" w:hAnsi="宋体" w:cs="宋体"/>
          <w:color w:val="auto"/>
          <w:u w:val="single"/>
        </w:rPr>
        <w:t xml:space="preserve">    项目施工合同</w:t>
      </w:r>
      <w:r>
        <w:rPr>
          <w:rFonts w:hint="eastAsia" w:hAnsi="宋体" w:cs="宋体"/>
          <w:color w:val="auto"/>
        </w:rPr>
        <w:t>（合同编号：</w:t>
      </w:r>
      <w:r>
        <w:rPr>
          <w:rFonts w:hint="eastAsia" w:hAnsi="宋体" w:cs="宋体"/>
          <w:color w:val="auto"/>
          <w:u w:val="single"/>
        </w:rPr>
        <w:t xml:space="preserve">        </w:t>
      </w:r>
      <w:r>
        <w:rPr>
          <w:rFonts w:hint="eastAsia" w:hAnsi="宋体" w:cs="宋体"/>
          <w:color w:val="auto"/>
        </w:rPr>
        <w:t>）。为了保证投保人充分履行合同义务，</w:t>
      </w:r>
      <w:r>
        <w:rPr>
          <w:rFonts w:hint="eastAsia" w:hAnsi="宋体" w:cs="宋体"/>
          <w:color w:val="auto"/>
          <w:lang w:val="zh-TW" w:eastAsia="zh-TW"/>
        </w:rPr>
        <w:t>按合同约定的时间完成贵方</w:t>
      </w:r>
      <w:r>
        <w:rPr>
          <w:rFonts w:hint="eastAsia" w:hAnsi="宋体" w:cs="宋体"/>
          <w:color w:val="auto"/>
          <w:lang w:val="zh-TW"/>
        </w:rPr>
        <w:t>的工程施工</w:t>
      </w:r>
      <w:r>
        <w:rPr>
          <w:rFonts w:hint="eastAsia" w:hAnsi="宋体" w:cs="宋体"/>
          <w:color w:val="auto"/>
          <w:lang w:val="zh-TW" w:eastAsia="zh-TW"/>
        </w:rPr>
        <w:t>，并经竣工验收合格移交</w:t>
      </w:r>
      <w:r>
        <w:rPr>
          <w:rFonts w:hint="eastAsia" w:hAnsi="宋体" w:cs="宋体"/>
          <w:color w:val="auto"/>
          <w:lang w:val="zh-TW"/>
        </w:rPr>
        <w:t>。</w:t>
      </w:r>
      <w:r>
        <w:rPr>
          <w:rFonts w:hint="eastAsia" w:hAnsi="宋体" w:cs="宋体"/>
          <w:color w:val="auto"/>
        </w:rPr>
        <w:t>应投保人申请，我方愿就投保人履行该合同约定的义务以保证的方式向贵方提供如下无条件的、不可撤销的履约保证保险：</w:t>
      </w:r>
    </w:p>
    <w:p>
      <w:pPr>
        <w:spacing w:line="360" w:lineRule="auto"/>
        <w:ind w:firstLine="480" w:firstLineChars="200"/>
        <w:rPr>
          <w:rFonts w:ascii="宋体" w:hAnsi="宋体" w:cs="宋体"/>
          <w:color w:val="auto"/>
          <w:sz w:val="24"/>
        </w:rPr>
      </w:pPr>
      <w:r>
        <w:rPr>
          <w:rFonts w:hint="eastAsia" w:ascii="宋体" w:hAnsi="宋体" w:cs="宋体"/>
          <w:color w:val="auto"/>
          <w:sz w:val="24"/>
        </w:rPr>
        <w:t>一、保险的范围及</w:t>
      </w:r>
      <w:r>
        <w:rPr>
          <w:color w:val="auto"/>
        </w:rPr>
        <w:fldChar w:fldCharType="begin"/>
      </w:r>
      <w:r>
        <w:rPr>
          <w:color w:val="auto"/>
        </w:rPr>
        <w:instrText xml:space="preserve"> HYPERLINK "https://baike.baidu.com/item/%E4%BF%9D%E8%AF%81%E9%87%91" \t "https://baike.baidu.com/item/%E6%8A%95%E6%A0%87%E4%BF%9D%E5%87%BD/_blank" </w:instrText>
      </w:r>
      <w:r>
        <w:rPr>
          <w:color w:val="auto"/>
        </w:rPr>
        <w:fldChar w:fldCharType="separate"/>
      </w:r>
      <w:r>
        <w:rPr>
          <w:rFonts w:hint="eastAsia" w:ascii="宋体" w:hAnsi="宋体" w:cs="宋体"/>
          <w:color w:val="auto"/>
          <w:sz w:val="24"/>
        </w:rPr>
        <w:t>保险金</w:t>
      </w:r>
      <w:r>
        <w:rPr>
          <w:rFonts w:hint="eastAsia" w:ascii="宋体" w:hAnsi="宋体" w:cs="宋体"/>
          <w:color w:val="auto"/>
          <w:sz w:val="24"/>
        </w:rPr>
        <w:fldChar w:fldCharType="end"/>
      </w:r>
      <w:r>
        <w:rPr>
          <w:rFonts w:hint="eastAsia" w:ascii="宋体" w:hAnsi="宋体" w:cs="宋体"/>
          <w:color w:val="auto"/>
          <w:sz w:val="24"/>
        </w:rPr>
        <w:t>额</w:t>
      </w:r>
    </w:p>
    <w:p>
      <w:pPr>
        <w:spacing w:line="360" w:lineRule="auto"/>
        <w:ind w:firstLine="480" w:firstLineChars="200"/>
        <w:rPr>
          <w:rFonts w:ascii="宋体" w:hAnsi="宋体" w:cs="宋体"/>
          <w:color w:val="auto"/>
          <w:sz w:val="24"/>
        </w:rPr>
      </w:pPr>
      <w:r>
        <w:rPr>
          <w:rFonts w:hint="eastAsia" w:ascii="宋体" w:hAnsi="宋体" w:cs="宋体"/>
          <w:color w:val="auto"/>
          <w:sz w:val="24"/>
        </w:rPr>
        <w:t>1.本保险受益人为贵方，保险性质为见索即付的独立保险保证。</w:t>
      </w:r>
    </w:p>
    <w:p>
      <w:pPr>
        <w:spacing w:line="360" w:lineRule="auto"/>
        <w:ind w:firstLine="480" w:firstLineChars="200"/>
        <w:rPr>
          <w:rFonts w:ascii="宋体" w:hAnsi="宋体" w:cs="宋体"/>
          <w:color w:val="auto"/>
          <w:sz w:val="24"/>
        </w:rPr>
      </w:pPr>
      <w:r>
        <w:rPr>
          <w:rFonts w:hint="eastAsia" w:ascii="宋体" w:hAnsi="宋体" w:cs="宋体"/>
          <w:color w:val="auto"/>
          <w:sz w:val="24"/>
        </w:rPr>
        <w:t>2.如果投保人不能履行合同或违约，我方将在收到贵方要求支付部分或全部保证金的通知时，将于7个工作日内无条件和不可改变地向贵方支付贵方要求的金额，并放弃任何向贵方提出异议和追索的权力。</w:t>
      </w:r>
    </w:p>
    <w:p>
      <w:pPr>
        <w:spacing w:line="360" w:lineRule="auto"/>
        <w:ind w:firstLine="480" w:firstLineChars="200"/>
        <w:rPr>
          <w:rFonts w:ascii="宋体" w:hAnsi="宋体" w:cs="宋体"/>
          <w:color w:val="auto"/>
          <w:sz w:val="24"/>
        </w:rPr>
      </w:pPr>
      <w:r>
        <w:rPr>
          <w:rFonts w:hint="eastAsia" w:ascii="宋体" w:hAnsi="宋体" w:cs="宋体"/>
          <w:color w:val="auto"/>
          <w:sz w:val="24"/>
        </w:rPr>
        <w:t>3.我方承担的履约保证金额（最高限额）为人民币（大写）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w:t>
      </w:r>
    </w:p>
    <w:p>
      <w:pPr>
        <w:spacing w:line="360" w:lineRule="auto"/>
        <w:ind w:firstLine="480" w:firstLineChars="200"/>
        <w:rPr>
          <w:rFonts w:ascii="宋体" w:hAnsi="宋体" w:cs="宋体"/>
          <w:color w:val="auto"/>
          <w:sz w:val="24"/>
        </w:rPr>
      </w:pPr>
      <w:r>
        <w:rPr>
          <w:rFonts w:hint="eastAsia" w:ascii="宋体" w:hAnsi="宋体" w:cs="宋体"/>
          <w:color w:val="auto"/>
          <w:sz w:val="24"/>
        </w:rPr>
        <w:t>二、保险的方式及保证期间</w:t>
      </w:r>
    </w:p>
    <w:p>
      <w:pPr>
        <w:spacing w:line="360" w:lineRule="auto"/>
        <w:ind w:firstLine="480" w:firstLineChars="200"/>
        <w:rPr>
          <w:rFonts w:ascii="宋体" w:hAnsi="宋体" w:cs="宋体"/>
          <w:color w:val="auto"/>
          <w:sz w:val="24"/>
        </w:rPr>
      </w:pPr>
      <w:r>
        <w:rPr>
          <w:rFonts w:hint="eastAsia" w:ascii="宋体" w:hAnsi="宋体" w:cs="宋体"/>
          <w:color w:val="auto"/>
          <w:sz w:val="24"/>
        </w:rPr>
        <w:t>我方保证的方式为：</w:t>
      </w:r>
      <w:r>
        <w:rPr>
          <w:color w:val="auto"/>
        </w:rPr>
        <w:fldChar w:fldCharType="begin"/>
      </w:r>
      <w:r>
        <w:rPr>
          <w:color w:val="auto"/>
        </w:rPr>
        <w:instrText xml:space="preserve"> HYPERLINK "https://baike.baidu.com/item/%E8%BF%9E%E5%B8%A6%E8%B4%A3%E4%BB%BB%E4%BF%9D%E8%AF%81" \t "https://baike.baidu.com/item/%E6%8A%95%E6%A0%87%E4%BF%9D%E5%87%BD/_blank" </w:instrText>
      </w:r>
      <w:r>
        <w:rPr>
          <w:color w:val="auto"/>
        </w:rPr>
        <w:fldChar w:fldCharType="separate"/>
      </w:r>
      <w:r>
        <w:rPr>
          <w:rFonts w:hint="eastAsia" w:ascii="宋体" w:hAnsi="宋体" w:cs="宋体"/>
          <w:color w:val="auto"/>
          <w:sz w:val="24"/>
        </w:rPr>
        <w:t>连带责任保证</w:t>
      </w:r>
      <w:r>
        <w:rPr>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我方的保证期间为：自本保险生效之日起至合同终止后30日止。</w:t>
      </w:r>
    </w:p>
    <w:p>
      <w:pPr>
        <w:spacing w:line="360" w:lineRule="auto"/>
        <w:ind w:firstLine="480" w:firstLineChars="200"/>
        <w:rPr>
          <w:rFonts w:ascii="宋体" w:hAnsi="宋体" w:cs="宋体"/>
          <w:color w:val="auto"/>
          <w:sz w:val="24"/>
        </w:rPr>
      </w:pPr>
      <w:r>
        <w:rPr>
          <w:rFonts w:hint="eastAsia" w:ascii="宋体" w:hAnsi="宋体" w:cs="宋体"/>
          <w:color w:val="auto"/>
          <w:sz w:val="24"/>
        </w:rPr>
        <w:t>如主合同期需延长，经我方书面同意后，本保险的保证期间应作相应调整。</w:t>
      </w:r>
    </w:p>
    <w:p>
      <w:pPr>
        <w:spacing w:line="360" w:lineRule="auto"/>
        <w:ind w:firstLine="480" w:firstLineChars="200"/>
        <w:rPr>
          <w:rFonts w:ascii="宋体" w:hAnsi="宋体" w:cs="宋体"/>
          <w:color w:val="auto"/>
          <w:sz w:val="24"/>
        </w:rPr>
      </w:pPr>
      <w:r>
        <w:rPr>
          <w:rFonts w:hint="eastAsia" w:ascii="宋体" w:hAnsi="宋体" w:cs="宋体"/>
          <w:color w:val="auto"/>
          <w:sz w:val="24"/>
        </w:rPr>
        <w:t>三、承担</w:t>
      </w:r>
      <w:r>
        <w:rPr>
          <w:color w:val="auto"/>
        </w:rPr>
        <w:fldChar w:fldCharType="begin"/>
      </w:r>
      <w:r>
        <w:rPr>
          <w:color w:val="auto"/>
        </w:rPr>
        <w:instrText xml:space="preserve"> HYPERLINK "https://baike.baidu.com/item/%E4%BF%9D%E8%AF%81%E8%B4%A3%E4%BB%BB" \t "https://baike.baidu.com/item/%E6%8A%95%E6%A0%87%E4%BF%9D%E5%87%BD/_blank" </w:instrText>
      </w:r>
      <w:r>
        <w:rPr>
          <w:color w:val="auto"/>
        </w:rPr>
        <w:fldChar w:fldCharType="separate"/>
      </w:r>
      <w:r>
        <w:rPr>
          <w:rFonts w:hint="eastAsia" w:ascii="宋体" w:hAnsi="宋体" w:cs="宋体"/>
          <w:color w:val="auto"/>
          <w:sz w:val="24"/>
        </w:rPr>
        <w:t>保证责任</w:t>
      </w:r>
      <w:r>
        <w:rPr>
          <w:rFonts w:hint="eastAsia" w:ascii="宋体" w:hAnsi="宋体" w:cs="宋体"/>
          <w:color w:val="auto"/>
          <w:sz w:val="24"/>
        </w:rPr>
        <w:fldChar w:fldCharType="end"/>
      </w:r>
      <w:r>
        <w:rPr>
          <w:rFonts w:hint="eastAsia" w:ascii="宋体" w:hAnsi="宋体" w:cs="宋体"/>
          <w:color w:val="auto"/>
          <w:sz w:val="24"/>
        </w:rPr>
        <w:t>的形式</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我方按照贵方的要求以下列方式之一承担保证责任：代投保人向贵方支付</w:t>
      </w:r>
      <w:r>
        <w:rPr>
          <w:color w:val="auto"/>
        </w:rPr>
        <w:fldChar w:fldCharType="begin"/>
      </w:r>
      <w:r>
        <w:rPr>
          <w:color w:val="auto"/>
        </w:rPr>
        <w:instrText xml:space="preserve"> HYPERLINK "https://baike.baidu.com/item/%E6%8A%95%E6%A0%87%E4%BF%9D%E8%AF%81%E9%87%91" \t "https://baike.baidu.com/item/%E6%8A%95%E6%A0%87%E4%BF%9D%E5%87%BD/_blank" </w:instrText>
      </w:r>
      <w:r>
        <w:rPr>
          <w:color w:val="auto"/>
        </w:rPr>
        <w:fldChar w:fldCharType="separate"/>
      </w:r>
      <w:r>
        <w:rPr>
          <w:rFonts w:hint="eastAsia" w:ascii="宋体" w:hAnsi="宋体" w:cs="宋体"/>
          <w:color w:val="auto"/>
          <w:sz w:val="24"/>
        </w:rPr>
        <w:t>履约保证金</w:t>
      </w:r>
      <w:r>
        <w:rPr>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四、代偿的安排</w:t>
      </w:r>
    </w:p>
    <w:p>
      <w:pPr>
        <w:spacing w:line="360" w:lineRule="auto"/>
        <w:ind w:firstLine="480" w:firstLineChars="200"/>
        <w:rPr>
          <w:rFonts w:ascii="宋体" w:hAnsi="宋体" w:cs="宋体"/>
          <w:color w:val="auto"/>
          <w:sz w:val="24"/>
        </w:rPr>
      </w:pPr>
      <w:r>
        <w:rPr>
          <w:rFonts w:hint="eastAsia" w:ascii="宋体" w:hAnsi="宋体" w:cs="宋体"/>
          <w:color w:val="auto"/>
          <w:sz w:val="24"/>
        </w:rPr>
        <w:t>贵方要求我方承担</w:t>
      </w:r>
      <w:r>
        <w:rPr>
          <w:color w:val="auto"/>
        </w:rPr>
        <w:fldChar w:fldCharType="begin"/>
      </w:r>
      <w:r>
        <w:rPr>
          <w:color w:val="auto"/>
        </w:rPr>
        <w:instrText xml:space="preserve"> HYPERLINK "https://baike.baidu.com/item/%E4%BF%9D%E8%AF%81%E8%B4%A3%E4%BB%BB" \t "https://baike.baidu.com/item/%E6%8A%95%E6%A0%87%E4%BF%9D%E5%87%BD/_blank" </w:instrText>
      </w:r>
      <w:r>
        <w:rPr>
          <w:color w:val="auto"/>
        </w:rPr>
        <w:fldChar w:fldCharType="separate"/>
      </w:r>
      <w:r>
        <w:rPr>
          <w:rFonts w:hint="eastAsia" w:ascii="宋体" w:hAnsi="宋体" w:cs="宋体"/>
          <w:color w:val="auto"/>
          <w:sz w:val="24"/>
        </w:rPr>
        <w:t>保证责任</w:t>
      </w:r>
      <w:r>
        <w:rPr>
          <w:rFonts w:hint="eastAsia" w:ascii="宋体" w:hAnsi="宋体" w:cs="宋体"/>
          <w:color w:val="auto"/>
          <w:sz w:val="24"/>
        </w:rPr>
        <w:fldChar w:fldCharType="end"/>
      </w:r>
      <w:r>
        <w:rPr>
          <w:rFonts w:hint="eastAsia" w:ascii="宋体" w:hAnsi="宋体" w:cs="宋体"/>
          <w:color w:val="auto"/>
          <w:sz w:val="24"/>
        </w:rPr>
        <w:t>的，应向我方发出书面索赔通知。索赔通知应写明要求索赔的金额，支付款项应到达的账号，并附有说明申请人违约造成贵方</w:t>
      </w:r>
      <w:r>
        <w:rPr>
          <w:color w:val="auto"/>
        </w:rPr>
        <w:fldChar w:fldCharType="begin"/>
      </w:r>
      <w:r>
        <w:rPr>
          <w:color w:val="auto"/>
        </w:rPr>
        <w:instrText xml:space="preserve"> HYPERLINK "https://baike.baidu.com/item/%E6%8D%9F%E5%A4%B1" \t "https://baike.baidu.com/item/%E6%8A%95%E6%A0%87%E4%BF%9D%E5%87%BD/_blank" </w:instrText>
      </w:r>
      <w:r>
        <w:rPr>
          <w:color w:val="auto"/>
        </w:rPr>
        <w:fldChar w:fldCharType="separate"/>
      </w:r>
      <w:r>
        <w:rPr>
          <w:rFonts w:hint="eastAsia" w:ascii="宋体" w:hAnsi="宋体" w:cs="宋体"/>
          <w:color w:val="auto"/>
          <w:sz w:val="24"/>
        </w:rPr>
        <w:t>损失</w:t>
      </w:r>
      <w:r>
        <w:rPr>
          <w:rFonts w:hint="eastAsia" w:ascii="宋体" w:hAnsi="宋体" w:cs="宋体"/>
          <w:color w:val="auto"/>
          <w:sz w:val="24"/>
        </w:rPr>
        <w:fldChar w:fldCharType="end"/>
      </w:r>
      <w:r>
        <w:rPr>
          <w:rFonts w:hint="eastAsia" w:ascii="宋体" w:hAnsi="宋体" w:cs="宋体"/>
          <w:color w:val="auto"/>
          <w:sz w:val="24"/>
        </w:rPr>
        <w:t>情况的说明材料以及项目所在地建设行政主管部门的批准文件。</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我方收到贵方的书面索赔通知及相关说明材料后，在7个工作日内无条件和不可改变地向贵方支付索赔金额，并放弃任何向贵方提出异议和追索的权力。</w:t>
      </w:r>
    </w:p>
    <w:p>
      <w:pPr>
        <w:spacing w:line="360" w:lineRule="auto"/>
        <w:ind w:firstLine="480" w:firstLineChars="200"/>
        <w:rPr>
          <w:rFonts w:ascii="宋体" w:hAnsi="宋体" w:cs="宋体"/>
          <w:color w:val="auto"/>
          <w:sz w:val="24"/>
        </w:rPr>
      </w:pPr>
      <w:r>
        <w:rPr>
          <w:rFonts w:hint="eastAsia" w:ascii="宋体" w:hAnsi="宋体" w:cs="宋体"/>
          <w:color w:val="auto"/>
          <w:sz w:val="24"/>
        </w:rPr>
        <w:t>五、保证责任的解除</w:t>
      </w:r>
    </w:p>
    <w:p>
      <w:pPr>
        <w:spacing w:line="360" w:lineRule="auto"/>
        <w:ind w:firstLine="480" w:firstLineChars="200"/>
        <w:rPr>
          <w:rFonts w:ascii="宋体" w:hAnsi="宋体" w:cs="宋体"/>
          <w:color w:val="auto"/>
          <w:sz w:val="24"/>
        </w:rPr>
      </w:pPr>
      <w:r>
        <w:rPr>
          <w:rFonts w:hint="eastAsia" w:ascii="宋体" w:hAnsi="宋体" w:cs="宋体"/>
          <w:color w:val="auto"/>
          <w:sz w:val="24"/>
        </w:rPr>
        <w:t>1、保证期间届满贵方未向我方书面主张保证责任的，自保证期间届满次日起，我方解除保证责任。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2、我方按照本保险向贵方履行了保证责任后，自我方向贵方支付（支付款项从我方账户划出）之日起，保证责任即解除。</w:t>
      </w:r>
    </w:p>
    <w:p>
      <w:pPr>
        <w:spacing w:line="360" w:lineRule="auto"/>
        <w:ind w:firstLine="480" w:firstLineChars="200"/>
        <w:rPr>
          <w:rFonts w:ascii="宋体" w:hAnsi="宋体" w:cs="宋体"/>
          <w:color w:val="auto"/>
          <w:sz w:val="24"/>
        </w:rPr>
      </w:pPr>
      <w:r>
        <w:rPr>
          <w:rFonts w:hint="eastAsia" w:ascii="宋体" w:hAnsi="宋体" w:cs="宋体"/>
          <w:color w:val="auto"/>
          <w:sz w:val="24"/>
        </w:rPr>
        <w:t>3、按照法律法规的规定或出现应解除我方</w:t>
      </w:r>
      <w:r>
        <w:rPr>
          <w:color w:val="auto"/>
        </w:rPr>
        <w:fldChar w:fldCharType="begin"/>
      </w:r>
      <w:r>
        <w:rPr>
          <w:color w:val="auto"/>
        </w:rPr>
        <w:instrText xml:space="preserve"> HYPERLINK "https://baike.baidu.com/item/%E4%BF%9D%E8%AF%81%E8%B4%A3%E4%BB%BB" \t "https://baike.baidu.com/item/%E6%8A%95%E6%A0%87%E4%BF%9D%E5%87%BD/_blank" </w:instrText>
      </w:r>
      <w:r>
        <w:rPr>
          <w:color w:val="auto"/>
        </w:rPr>
        <w:fldChar w:fldCharType="separate"/>
      </w:r>
      <w:r>
        <w:rPr>
          <w:rFonts w:hint="eastAsia" w:ascii="宋体" w:hAnsi="宋体" w:cs="宋体"/>
          <w:color w:val="auto"/>
          <w:sz w:val="24"/>
        </w:rPr>
        <w:t>保证责任的其他情形</w:t>
      </w:r>
      <w:r>
        <w:rPr>
          <w:rFonts w:hint="eastAsia" w:ascii="宋体" w:hAnsi="宋体" w:cs="宋体"/>
          <w:color w:val="auto"/>
          <w:sz w:val="24"/>
        </w:rPr>
        <w:fldChar w:fldCharType="end"/>
      </w:r>
      <w:r>
        <w:rPr>
          <w:rFonts w:hint="eastAsia" w:ascii="宋体" w:hAnsi="宋体" w:cs="宋体"/>
          <w:color w:val="auto"/>
          <w:sz w:val="24"/>
        </w:rPr>
        <w:t>的，我方在本保险项下的保证责任亦解除。</w:t>
      </w:r>
    </w:p>
    <w:p>
      <w:pPr>
        <w:spacing w:line="360" w:lineRule="auto"/>
        <w:ind w:firstLine="480" w:firstLineChars="200"/>
        <w:rPr>
          <w:rFonts w:ascii="宋体" w:hAnsi="宋体" w:cs="宋体"/>
          <w:color w:val="auto"/>
          <w:sz w:val="24"/>
        </w:rPr>
      </w:pPr>
      <w:r>
        <w:rPr>
          <w:rFonts w:hint="eastAsia" w:ascii="宋体" w:hAnsi="宋体" w:cs="宋体"/>
          <w:color w:val="auto"/>
          <w:sz w:val="24"/>
        </w:rPr>
        <w:t>我方解除保证责任后，贵方应按上述约定，自我方保证责任解除之日起7个工作日内，将本保险原件返还我方注销。</w:t>
      </w:r>
    </w:p>
    <w:p>
      <w:pPr>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六、</w:t>
      </w:r>
      <w:r>
        <w:rPr>
          <w:rFonts w:hint="eastAsia" w:ascii="宋体" w:hAnsi="宋体" w:cs="宋体"/>
          <w:bCs/>
          <w:snapToGrid w:val="0"/>
          <w:color w:val="auto"/>
          <w:kern w:val="0"/>
          <w:sz w:val="24"/>
        </w:rPr>
        <w:t>本</w:t>
      </w:r>
      <w:r>
        <w:rPr>
          <w:rFonts w:hint="eastAsia" w:ascii="宋体" w:hAnsi="宋体" w:cs="宋体"/>
          <w:color w:val="auto"/>
          <w:sz w:val="24"/>
        </w:rPr>
        <w:t>保险</w:t>
      </w:r>
      <w:r>
        <w:rPr>
          <w:rFonts w:hint="eastAsia" w:ascii="宋体" w:hAnsi="宋体" w:cs="宋体"/>
          <w:bCs/>
          <w:snapToGrid w:val="0"/>
          <w:color w:val="auto"/>
          <w:kern w:val="0"/>
          <w:sz w:val="24"/>
        </w:rPr>
        <w:t>项下权利不得转让，不得设定担保。</w:t>
      </w:r>
      <w:r>
        <w:rPr>
          <w:rFonts w:hint="eastAsia" w:ascii="宋体" w:hAnsi="宋体" w:cs="宋体"/>
          <w:color w:val="auto"/>
          <w:sz w:val="24"/>
        </w:rPr>
        <w:t>贵方</w:t>
      </w:r>
      <w:r>
        <w:rPr>
          <w:rFonts w:hint="eastAsia" w:ascii="宋体" w:hAnsi="宋体" w:cs="宋体"/>
          <w:bCs/>
          <w:snapToGrid w:val="0"/>
          <w:color w:val="auto"/>
          <w:kern w:val="0"/>
          <w:sz w:val="24"/>
        </w:rPr>
        <w:t>未经</w:t>
      </w:r>
      <w:r>
        <w:rPr>
          <w:rFonts w:hint="eastAsia" w:ascii="宋体" w:hAnsi="宋体" w:cs="宋体"/>
          <w:color w:val="auto"/>
          <w:sz w:val="24"/>
        </w:rPr>
        <w:t>我方</w:t>
      </w:r>
      <w:r>
        <w:rPr>
          <w:rFonts w:hint="eastAsia" w:ascii="宋体" w:hAnsi="宋体" w:cs="宋体"/>
          <w:bCs/>
          <w:snapToGrid w:val="0"/>
          <w:color w:val="auto"/>
          <w:kern w:val="0"/>
          <w:sz w:val="24"/>
        </w:rPr>
        <w:t>书面同意转让本</w:t>
      </w:r>
      <w:r>
        <w:rPr>
          <w:rFonts w:hint="eastAsia" w:ascii="宋体" w:hAnsi="宋体" w:cs="宋体"/>
          <w:color w:val="auto"/>
          <w:sz w:val="24"/>
        </w:rPr>
        <w:t>保险</w:t>
      </w:r>
      <w:r>
        <w:rPr>
          <w:rFonts w:hint="eastAsia" w:ascii="宋体" w:hAnsi="宋体" w:cs="宋体"/>
          <w:bCs/>
          <w:snapToGrid w:val="0"/>
          <w:color w:val="auto"/>
          <w:kern w:val="0"/>
          <w:sz w:val="24"/>
        </w:rPr>
        <w:t>或其项下任何权利，</w:t>
      </w:r>
      <w:r>
        <w:rPr>
          <w:rFonts w:hint="eastAsia" w:ascii="宋体" w:hAnsi="宋体" w:cs="宋体"/>
          <w:color w:val="auto"/>
          <w:sz w:val="24"/>
        </w:rPr>
        <w:t>我方</w:t>
      </w:r>
      <w:r>
        <w:rPr>
          <w:rFonts w:hint="eastAsia" w:ascii="宋体" w:hAnsi="宋体" w:cs="宋体"/>
          <w:bCs/>
          <w:snapToGrid w:val="0"/>
          <w:color w:val="auto"/>
          <w:kern w:val="0"/>
          <w:sz w:val="24"/>
        </w:rPr>
        <w:t>在本</w:t>
      </w:r>
      <w:r>
        <w:rPr>
          <w:rFonts w:hint="eastAsia" w:ascii="宋体" w:hAnsi="宋体" w:cs="宋体"/>
          <w:color w:val="auto"/>
          <w:sz w:val="24"/>
        </w:rPr>
        <w:t>保险</w:t>
      </w:r>
      <w:r>
        <w:rPr>
          <w:rFonts w:hint="eastAsia" w:ascii="宋体" w:hAnsi="宋体" w:cs="宋体"/>
          <w:bCs/>
          <w:snapToGrid w:val="0"/>
          <w:color w:val="auto"/>
          <w:kern w:val="0"/>
          <w:sz w:val="24"/>
        </w:rPr>
        <w:t>项下的义务与责任全部终止</w:t>
      </w:r>
      <w:r>
        <w:rPr>
          <w:rFonts w:hint="eastAsia" w:ascii="宋体" w:hAnsi="宋体" w:cs="宋体"/>
          <w:snapToGrid w:val="0"/>
          <w:color w:val="auto"/>
          <w:kern w:val="0"/>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七、免责条款</w:t>
      </w:r>
    </w:p>
    <w:p>
      <w:pPr>
        <w:spacing w:line="360" w:lineRule="auto"/>
        <w:ind w:firstLine="480" w:firstLineChars="200"/>
        <w:rPr>
          <w:rFonts w:ascii="宋体" w:hAnsi="宋体" w:cs="宋体"/>
          <w:color w:val="auto"/>
          <w:sz w:val="24"/>
        </w:rPr>
      </w:pPr>
      <w:r>
        <w:rPr>
          <w:rFonts w:hint="eastAsia" w:ascii="宋体" w:hAnsi="宋体" w:cs="宋体"/>
          <w:color w:val="auto"/>
          <w:sz w:val="24"/>
        </w:rPr>
        <w:t>1、因贵方违约致使投保人不能履行义务的，我方不承担保证责任。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2、依照法律规定或贵方与投保人的另行约定，免除投保人部分或全部义务的，我方亦免除其相应的保证责任。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3、因不可抗力造成投保人不能履行义务的，我方不承担保证责任。</w:t>
      </w:r>
    </w:p>
    <w:p>
      <w:pPr>
        <w:spacing w:line="360" w:lineRule="auto"/>
        <w:ind w:firstLine="480" w:firstLineChars="200"/>
        <w:rPr>
          <w:rFonts w:ascii="宋体" w:hAnsi="宋体" w:cs="宋体"/>
          <w:color w:val="auto"/>
          <w:sz w:val="24"/>
        </w:rPr>
      </w:pPr>
      <w:r>
        <w:rPr>
          <w:rFonts w:hint="eastAsia" w:ascii="宋体" w:hAnsi="宋体" w:cs="宋体"/>
          <w:color w:val="auto"/>
          <w:sz w:val="24"/>
        </w:rPr>
        <w:t>八、争议的解决</w:t>
      </w:r>
    </w:p>
    <w:p>
      <w:pPr>
        <w:spacing w:line="360" w:lineRule="auto"/>
        <w:ind w:firstLine="480" w:firstLineChars="200"/>
        <w:rPr>
          <w:rFonts w:ascii="宋体" w:hAnsi="宋体" w:cs="宋体"/>
          <w:color w:val="auto"/>
          <w:sz w:val="24"/>
        </w:rPr>
      </w:pPr>
      <w:r>
        <w:rPr>
          <w:rFonts w:hint="eastAsia" w:ascii="宋体" w:hAnsi="宋体" w:cs="宋体"/>
          <w:color w:val="auto"/>
          <w:sz w:val="24"/>
        </w:rPr>
        <w:t>因本保险发生的纠纷，由贵我双方协商解决，协商不成的，通过诉讼程序解决，诉讼管辖地法院为项目所在地法院。</w:t>
      </w:r>
    </w:p>
    <w:p>
      <w:pPr>
        <w:spacing w:line="360" w:lineRule="auto"/>
        <w:ind w:firstLine="480" w:firstLineChars="200"/>
        <w:rPr>
          <w:rFonts w:ascii="宋体" w:hAnsi="宋体" w:cs="宋体"/>
          <w:color w:val="auto"/>
          <w:sz w:val="24"/>
        </w:rPr>
      </w:pPr>
      <w:r>
        <w:rPr>
          <w:rFonts w:hint="eastAsia" w:ascii="宋体" w:hAnsi="宋体" w:cs="宋体"/>
          <w:color w:val="auto"/>
          <w:sz w:val="24"/>
        </w:rPr>
        <w:t>九、保险的生效</w:t>
      </w:r>
    </w:p>
    <w:p>
      <w:pPr>
        <w:pStyle w:val="118"/>
        <w:tabs>
          <w:tab w:val="left" w:pos="2977"/>
        </w:tabs>
        <w:snapToGrid w:val="0"/>
        <w:spacing w:after="0" w:line="360" w:lineRule="auto"/>
        <w:ind w:firstLine="480" w:firstLineChars="200"/>
        <w:rPr>
          <w:rFonts w:hAnsi="宋体" w:cs="宋体"/>
          <w:color w:val="auto"/>
        </w:rPr>
      </w:pPr>
      <w:r>
        <w:rPr>
          <w:rFonts w:hint="eastAsia" w:hAnsi="宋体" w:cs="宋体"/>
          <w:color w:val="auto"/>
        </w:rPr>
        <w:t>本保险自我方法定代表人签字并加盖公章之日起生效。</w:t>
      </w:r>
    </w:p>
    <w:p>
      <w:pPr>
        <w:pStyle w:val="118"/>
        <w:tabs>
          <w:tab w:val="left" w:pos="2977"/>
        </w:tabs>
        <w:snapToGrid w:val="0"/>
        <w:spacing w:after="0" w:line="360" w:lineRule="auto"/>
        <w:ind w:firstLine="3360" w:firstLineChars="1400"/>
        <w:rPr>
          <w:rFonts w:hAnsi="宋体" w:cs="宋体"/>
          <w:color w:val="auto"/>
        </w:rPr>
      </w:pPr>
      <w:r>
        <w:rPr>
          <w:rFonts w:hint="eastAsia" w:hAnsi="宋体" w:cs="宋体"/>
          <w:color w:val="auto"/>
        </w:rPr>
        <w:t>保险人名称：（公章）</w:t>
      </w:r>
    </w:p>
    <w:p>
      <w:pPr>
        <w:pStyle w:val="118"/>
        <w:tabs>
          <w:tab w:val="left" w:pos="2977"/>
        </w:tabs>
        <w:snapToGrid w:val="0"/>
        <w:spacing w:after="0" w:line="360" w:lineRule="auto"/>
        <w:ind w:firstLine="3360" w:firstLineChars="1400"/>
        <w:rPr>
          <w:rFonts w:hAnsi="宋体" w:cs="宋体"/>
          <w:color w:val="auto"/>
        </w:rPr>
      </w:pPr>
      <w:r>
        <w:rPr>
          <w:rFonts w:hint="eastAsia" w:hAnsi="宋体" w:cs="宋体"/>
          <w:color w:val="auto"/>
        </w:rPr>
        <w:t>法定代表人或其委托代理人：（签字或盖章）</w:t>
      </w:r>
    </w:p>
    <w:p>
      <w:pPr>
        <w:pStyle w:val="118"/>
        <w:tabs>
          <w:tab w:val="left" w:pos="2977"/>
        </w:tabs>
        <w:snapToGrid w:val="0"/>
        <w:spacing w:after="0" w:line="360" w:lineRule="auto"/>
        <w:ind w:firstLine="3360" w:firstLineChars="1400"/>
        <w:rPr>
          <w:rFonts w:hAnsi="宋体" w:cs="宋体"/>
          <w:color w:val="auto"/>
        </w:rPr>
      </w:pPr>
      <w:r>
        <w:rPr>
          <w:rFonts w:hint="eastAsia" w:hAnsi="宋体" w:cs="宋体"/>
          <w:color w:val="auto"/>
        </w:rPr>
        <w:t>地址：</w:t>
      </w:r>
    </w:p>
    <w:p>
      <w:pPr>
        <w:pStyle w:val="118"/>
        <w:tabs>
          <w:tab w:val="left" w:pos="2977"/>
        </w:tabs>
        <w:snapToGrid w:val="0"/>
        <w:spacing w:after="0" w:line="360" w:lineRule="auto"/>
        <w:ind w:firstLine="3360" w:firstLineChars="1400"/>
        <w:rPr>
          <w:rFonts w:hAnsi="宋体" w:cs="宋体"/>
          <w:color w:val="auto"/>
        </w:rPr>
      </w:pPr>
      <w:r>
        <w:rPr>
          <w:rFonts w:hint="eastAsia" w:hAnsi="宋体" w:cs="宋体"/>
          <w:color w:val="auto"/>
        </w:rPr>
        <w:t>邮政编码：</w:t>
      </w:r>
    </w:p>
    <w:p>
      <w:pPr>
        <w:pStyle w:val="118"/>
        <w:tabs>
          <w:tab w:val="left" w:pos="2977"/>
        </w:tabs>
        <w:snapToGrid w:val="0"/>
        <w:spacing w:after="0" w:line="360" w:lineRule="auto"/>
        <w:ind w:firstLine="3360" w:firstLineChars="1400"/>
        <w:rPr>
          <w:rFonts w:hAnsi="宋体" w:cs="宋体"/>
          <w:color w:val="auto"/>
        </w:rPr>
      </w:pPr>
      <w:r>
        <w:rPr>
          <w:rFonts w:hint="eastAsia" w:hAnsi="宋体" w:cs="宋体"/>
          <w:color w:val="auto"/>
        </w:rPr>
        <w:t>电话：</w:t>
      </w:r>
    </w:p>
    <w:p>
      <w:pPr>
        <w:pStyle w:val="118"/>
        <w:tabs>
          <w:tab w:val="left" w:pos="2977"/>
        </w:tabs>
        <w:snapToGrid w:val="0"/>
        <w:spacing w:after="0" w:line="360" w:lineRule="auto"/>
        <w:ind w:firstLine="3360" w:firstLineChars="1400"/>
        <w:rPr>
          <w:rFonts w:hAnsi="宋体" w:cs="宋体"/>
          <w:color w:val="auto"/>
        </w:rPr>
      </w:pPr>
      <w:r>
        <w:rPr>
          <w:rFonts w:hint="eastAsia" w:hAnsi="宋体" w:cs="宋体"/>
          <w:color w:val="auto"/>
        </w:rPr>
        <w:t>传真：</w:t>
      </w:r>
    </w:p>
    <w:p>
      <w:pPr>
        <w:pStyle w:val="118"/>
        <w:tabs>
          <w:tab w:val="left" w:pos="2977"/>
        </w:tabs>
        <w:snapToGrid w:val="0"/>
        <w:spacing w:after="0" w:line="360" w:lineRule="auto"/>
        <w:ind w:firstLine="3360" w:firstLineChars="1400"/>
        <w:rPr>
          <w:rFonts w:hAnsi="宋体"/>
          <w:color w:val="auto"/>
        </w:rPr>
      </w:pPr>
      <w:r>
        <w:rPr>
          <w:rFonts w:hint="eastAsia" w:hAnsi="宋体" w:cs="宋体"/>
          <w:color w:val="auto"/>
        </w:rPr>
        <w:t>日期：       年     月     日</w:t>
      </w:r>
    </w:p>
    <w:bookmarkEnd w:id="1458"/>
    <w:bookmarkEnd w:id="1459"/>
    <w:bookmarkEnd w:id="1460"/>
    <w:bookmarkEnd w:id="1461"/>
    <w:p>
      <w:pPr>
        <w:pStyle w:val="3"/>
        <w:rPr>
          <w:color w:val="auto"/>
        </w:rPr>
      </w:pPr>
      <w:bookmarkStart w:id="1633" w:name="_Toc247085855"/>
      <w:bookmarkStart w:id="1634" w:name="_Toc8796"/>
      <w:bookmarkStart w:id="1635" w:name="_Toc26108"/>
      <w:bookmarkStart w:id="1636" w:name="_Toc152045772"/>
      <w:bookmarkStart w:id="1637" w:name="_Toc24387"/>
      <w:bookmarkStart w:id="1638" w:name="_Toc27209"/>
      <w:bookmarkStart w:id="1639" w:name="_Toc179632789"/>
      <w:bookmarkStart w:id="1640" w:name="_Toc144974834"/>
      <w:bookmarkStart w:id="1641" w:name="_Toc6740"/>
      <w:bookmarkStart w:id="1642" w:name="_Toc152042554"/>
      <w:bookmarkStart w:id="1643" w:name="_Toc246996340"/>
      <w:bookmarkStart w:id="1644" w:name="_Toc246997083"/>
      <w:bookmarkStart w:id="1645" w:name="_Toc22323"/>
      <w:bookmarkStart w:id="1646" w:name="_Toc4078419"/>
      <w:r>
        <w:rPr>
          <w:color w:val="auto"/>
        </w:rPr>
        <w:br w:type="page"/>
      </w:r>
      <w:bookmarkStart w:id="1647" w:name="_Toc124613027"/>
      <w:bookmarkStart w:id="1648" w:name="_Toc14081"/>
      <w:r>
        <w:rPr>
          <w:rFonts w:hint="eastAsia"/>
          <w:color w:val="auto"/>
        </w:rPr>
        <w:t>第六章</w:t>
      </w:r>
      <w:r>
        <w:rPr>
          <w:color w:val="auto"/>
        </w:rPr>
        <w:t xml:space="preserve"> </w:t>
      </w:r>
      <w:r>
        <w:rPr>
          <w:rFonts w:hint="eastAsia"/>
          <w:color w:val="auto"/>
        </w:rPr>
        <w:t>工程量清单</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pPr>
        <w:spacing w:line="360" w:lineRule="auto"/>
        <w:jc w:val="center"/>
        <w:rPr>
          <w:rFonts w:ascii="宋体" w:hAnsi="宋体"/>
          <w:color w:val="auto"/>
          <w:sz w:val="24"/>
        </w:rPr>
      </w:pPr>
      <w:bookmarkStart w:id="1649" w:name="_Toc247085856"/>
      <w:bookmarkStart w:id="1650" w:name="_Toc4078420"/>
      <w:bookmarkStart w:id="1651" w:name="_Toc152042555"/>
      <w:bookmarkStart w:id="1652" w:name="_Toc246997084"/>
      <w:bookmarkStart w:id="1653" w:name="_Toc246996341"/>
      <w:bookmarkStart w:id="1654" w:name="_Toc152045773"/>
      <w:bookmarkStart w:id="1655" w:name="_Toc179632790"/>
      <w:bookmarkStart w:id="1656" w:name="_Toc144974835"/>
      <w:r>
        <w:rPr>
          <w:rFonts w:hint="eastAsia" w:ascii="宋体" w:hAnsi="宋体"/>
          <w:color w:val="auto"/>
          <w:sz w:val="24"/>
        </w:rPr>
        <w:t>（招标人可根据项目实际情况进行调整）</w:t>
      </w:r>
    </w:p>
    <w:p>
      <w:pPr>
        <w:pStyle w:val="4"/>
        <w:ind w:firstLine="482"/>
        <w:rPr>
          <w:color w:val="auto"/>
        </w:rPr>
      </w:pPr>
      <w:bookmarkStart w:id="1657" w:name="_Toc124613028"/>
      <w:bookmarkStart w:id="1658" w:name="_Toc19250"/>
      <w:bookmarkStart w:id="1659" w:name="_Toc23436"/>
      <w:bookmarkStart w:id="1660" w:name="_Toc21509"/>
      <w:bookmarkStart w:id="1661" w:name="_Toc27863"/>
      <w:bookmarkStart w:id="1662" w:name="_Toc20061"/>
      <w:bookmarkStart w:id="1663" w:name="_Toc11897"/>
      <w:bookmarkStart w:id="1664" w:name="_Toc17454"/>
      <w:r>
        <w:rPr>
          <w:rFonts w:hint="eastAsia"/>
          <w:color w:val="auto"/>
        </w:rPr>
        <w:t>1. 工程量清单说明</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 本工程量清单应与招标文件中的投标须知、通用合同条款、专用合同条款、技术标准和要求及图纸等一起阅读和理解。</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1.3 本工程量清单仅是投标报价的共同基础，实际工程计量和工程价款的支付应遵循合同条款的约定和第八章“技术标准和要求”的有关规定。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 补充子目工程量计算规则及子目工作内容说明：</w:t>
      </w:r>
      <w:r>
        <w:rPr>
          <w:rFonts w:hint="eastAsia" w:ascii="宋体" w:hAnsi="宋体" w:cs="宋体"/>
          <w:color w:val="auto"/>
          <w:sz w:val="24"/>
          <w:u w:val="single"/>
        </w:rPr>
        <w:t xml:space="preserve">                        </w:t>
      </w:r>
      <w:r>
        <w:rPr>
          <w:rFonts w:hint="eastAsia" w:ascii="宋体" w:hAnsi="宋体" w:cs="宋体"/>
          <w:color w:val="auto"/>
          <w:sz w:val="24"/>
        </w:rPr>
        <w:t>。</w:t>
      </w:r>
    </w:p>
    <w:p>
      <w:pPr>
        <w:pStyle w:val="4"/>
        <w:ind w:firstLine="482"/>
        <w:rPr>
          <w:color w:val="auto"/>
        </w:rPr>
      </w:pPr>
      <w:bookmarkStart w:id="1665" w:name="_Toc30001"/>
      <w:bookmarkStart w:id="1666" w:name="_Toc246996342"/>
      <w:bookmarkStart w:id="1667" w:name="_Toc247085857"/>
      <w:bookmarkStart w:id="1668" w:name="_Toc246997085"/>
      <w:bookmarkStart w:id="1669" w:name="_Toc24368"/>
      <w:bookmarkStart w:id="1670" w:name="_Toc144974836"/>
      <w:bookmarkStart w:id="1671" w:name="_Toc4078421"/>
      <w:bookmarkStart w:id="1672" w:name="_Toc152042556"/>
      <w:bookmarkStart w:id="1673" w:name="_Toc28852"/>
      <w:bookmarkStart w:id="1674" w:name="_Toc5412"/>
      <w:bookmarkStart w:id="1675" w:name="_Toc11787"/>
      <w:bookmarkStart w:id="1676" w:name="_Toc152045774"/>
      <w:bookmarkStart w:id="1677" w:name="_Toc179632791"/>
      <w:bookmarkStart w:id="1678" w:name="_Toc27570"/>
      <w:bookmarkStart w:id="1679" w:name="_Toc21871"/>
      <w:bookmarkStart w:id="1680" w:name="_Toc124613029"/>
      <w:r>
        <w:rPr>
          <w:rFonts w:hint="eastAsia"/>
          <w:color w:val="auto"/>
        </w:rPr>
        <w:t>2. 投标报价说明</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 工程量清单中的每一子目须填入单价或价格，且只允许有一个报价。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 工程量清单中标价的单价或金额，应包括所需的人工费、材料和施工机具使用费和企业管理费、利润以及一定范围内的风险费用等。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2.3 工程量清单中投标人没有填入单价或价格的子目，其费用视为已分摊在工程量清单中其他相关子目的单价或价格之中。</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2.4 暂列金额的数量及拟用子目的说明：</w:t>
      </w:r>
      <w:r>
        <w:rPr>
          <w:rFonts w:hint="eastAsia" w:ascii="宋体" w:hAnsi="宋体" w:cs="宋体"/>
          <w:color w:val="auto"/>
          <w:sz w:val="24"/>
          <w:u w:val="single"/>
        </w:rPr>
        <w:t xml:space="preserve">                                </w:t>
      </w:r>
      <w:r>
        <w:rPr>
          <w:rFonts w:hint="eastAsia" w:ascii="宋体" w:hAnsi="宋体" w:cs="宋体"/>
          <w:color w:val="auto"/>
          <w:sz w:val="24"/>
        </w:rPr>
        <w:t>。</w:t>
      </w:r>
    </w:p>
    <w:p>
      <w:pPr>
        <w:pStyle w:val="4"/>
        <w:ind w:firstLine="482"/>
        <w:rPr>
          <w:color w:val="auto"/>
        </w:rPr>
      </w:pPr>
      <w:bookmarkStart w:id="1681" w:name="_Toc247085858"/>
      <w:bookmarkStart w:id="1682" w:name="_Toc13467"/>
      <w:bookmarkStart w:id="1683" w:name="_Toc12584"/>
      <w:bookmarkStart w:id="1684" w:name="_Toc124613030"/>
      <w:bookmarkStart w:id="1685" w:name="_Toc246996343"/>
      <w:bookmarkStart w:id="1686" w:name="_Toc21892"/>
      <w:bookmarkStart w:id="1687" w:name="_Toc20014"/>
      <w:bookmarkStart w:id="1688" w:name="_Toc179632792"/>
      <w:bookmarkStart w:id="1689" w:name="_Toc30448"/>
      <w:bookmarkStart w:id="1690" w:name="_Toc246997086"/>
      <w:bookmarkStart w:id="1691" w:name="_Toc16054"/>
      <w:bookmarkStart w:id="1692" w:name="_Toc4078422"/>
      <w:bookmarkStart w:id="1693" w:name="_Toc1643"/>
      <w:bookmarkStart w:id="1694" w:name="_Toc152045775"/>
      <w:bookmarkStart w:id="1695" w:name="_Toc144974837"/>
      <w:bookmarkStart w:id="1696" w:name="_Toc152042557"/>
      <w:r>
        <w:rPr>
          <w:rFonts w:hint="eastAsia"/>
          <w:color w:val="auto"/>
        </w:rPr>
        <w:t>3. 其他说明</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pPr>
        <w:spacing w:line="360" w:lineRule="auto"/>
        <w:ind w:firstLine="480" w:firstLineChars="200"/>
        <w:rPr>
          <w:rFonts w:ascii="宋体" w:hAnsi="宋体" w:cs="宋体"/>
          <w:color w:val="auto"/>
          <w:sz w:val="24"/>
        </w:rPr>
      </w:pPr>
      <w:r>
        <w:rPr>
          <w:rFonts w:hint="eastAsia" w:ascii="宋体" w:hAnsi="宋体" w:cs="宋体"/>
          <w:color w:val="auto"/>
          <w:sz w:val="24"/>
        </w:rPr>
        <w:t>3.1各投标人根据招标人提供的由咨询机构编制的工程量清单，编制工程量清单投标文件，其中工程量清单投标书的内容包括：投标总价（打印书面投标文件时须按格式要求加盖单位公章、法定代表人章、编制人亲笔签名并加盖执业资格章。）单位工程费汇总表、分部分项工程量清单与计价表、分部分项工程量清单综合单价计价表、措施项目清单与计价表（一）、措施项目清单与计价表（二）、其他项目清单与计价汇总表、暂列金额明细表、材料暂估价单价表、专业工程暂估价表、计日工表、总承包服务费计价表、规费和税金项目计算表、主要材料设备价格表、评标指定材料表。分部分项工程的清单工程量以惠州市公共资源交易中心建设工程招投标交易平台（http://zyjy.huizhou.gov.cn）公布工程量清单的数量为准，各投标人不得修改。工程量清单需按《建设工程工程量清单计价规范》（GB50500-2013）规定的格式填报。</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各投标人根据下列要求编制工程量清单投标书：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3.1.1工程量清单投标文件格式必须为XML 2.0。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3.1.2投标人打印的工程量清单投标文件，规费和税金项目计算表中，必须有上述各项相应费用的费率。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3.2投标人应当在招标公告《招标日程安排表》规定的时间内在惠州市公共资源交易中心建设工程招投标交易平台（http://zyjy.huizhou.gov.cn）上传工程量清单投标文件。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3.3本项目《最高投标限价一览表》。</w:t>
      </w:r>
    </w:p>
    <w:p>
      <w:pPr>
        <w:snapToGrid w:val="0"/>
        <w:spacing w:line="360" w:lineRule="auto"/>
        <w:ind w:firstLine="422" w:firstLineChars="200"/>
        <w:jc w:val="center"/>
        <w:rPr>
          <w:rFonts w:ascii="宋体" w:hAnsi="宋体"/>
          <w:b/>
          <w:color w:val="auto"/>
          <w:szCs w:val="21"/>
        </w:rPr>
      </w:pPr>
    </w:p>
    <w:p>
      <w:pPr>
        <w:snapToGrid w:val="0"/>
        <w:spacing w:line="360" w:lineRule="auto"/>
        <w:jc w:val="center"/>
        <w:rPr>
          <w:rFonts w:ascii="宋体" w:hAnsi="宋体"/>
          <w:b/>
          <w:color w:val="auto"/>
          <w:sz w:val="24"/>
        </w:rPr>
      </w:pPr>
      <w:r>
        <w:rPr>
          <w:rFonts w:hint="eastAsia" w:ascii="宋体" w:hAnsi="宋体"/>
          <w:b/>
          <w:color w:val="auto"/>
          <w:sz w:val="24"/>
        </w:rPr>
        <w:t>最高投标限价一览表</w:t>
      </w:r>
    </w:p>
    <w:p>
      <w:pPr>
        <w:snapToGrid w:val="0"/>
        <w:spacing w:line="360" w:lineRule="auto"/>
        <w:ind w:right="31"/>
        <w:jc w:val="right"/>
        <w:rPr>
          <w:rFonts w:ascii="宋体" w:hAnsi="宋体"/>
          <w:b/>
          <w:color w:val="auto"/>
          <w:sz w:val="24"/>
        </w:rPr>
      </w:pPr>
      <w:r>
        <w:rPr>
          <w:rFonts w:hint="eastAsia" w:ascii="宋体" w:hAnsi="宋体"/>
          <w:b/>
          <w:color w:val="auto"/>
          <w:sz w:val="24"/>
        </w:rPr>
        <w:t>价格单位：元人民币</w:t>
      </w:r>
    </w:p>
    <w:tbl>
      <w:tblPr>
        <w:tblStyle w:val="4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513"/>
        <w:gridCol w:w="1729"/>
        <w:gridCol w:w="1729"/>
        <w:gridCol w:w="134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21" w:type="dxa"/>
            <w:vAlign w:val="center"/>
          </w:tcPr>
          <w:p>
            <w:pPr>
              <w:snapToGrid w:val="0"/>
              <w:jc w:val="center"/>
              <w:rPr>
                <w:rFonts w:ascii="宋体" w:hAnsi="宋体"/>
                <w:b/>
                <w:snapToGrid w:val="0"/>
                <w:color w:val="auto"/>
                <w:szCs w:val="21"/>
              </w:rPr>
            </w:pPr>
            <w:r>
              <w:rPr>
                <w:rFonts w:hint="eastAsia" w:ascii="宋体" w:hAnsi="宋体"/>
                <w:b/>
                <w:snapToGrid w:val="0"/>
                <w:color w:val="auto"/>
                <w:szCs w:val="21"/>
              </w:rPr>
              <w:t>序号</w:t>
            </w:r>
          </w:p>
        </w:tc>
        <w:tc>
          <w:tcPr>
            <w:tcW w:w="2513" w:type="dxa"/>
            <w:vAlign w:val="center"/>
          </w:tcPr>
          <w:p>
            <w:pPr>
              <w:snapToGrid w:val="0"/>
              <w:jc w:val="center"/>
              <w:rPr>
                <w:rFonts w:ascii="宋体" w:hAnsi="宋体"/>
                <w:b/>
                <w:snapToGrid w:val="0"/>
                <w:color w:val="auto"/>
                <w:szCs w:val="21"/>
              </w:rPr>
            </w:pPr>
            <w:r>
              <w:rPr>
                <w:rFonts w:hint="eastAsia" w:ascii="宋体" w:hAnsi="宋体"/>
                <w:b/>
                <w:snapToGrid w:val="0"/>
                <w:color w:val="auto"/>
                <w:szCs w:val="21"/>
              </w:rPr>
              <w:t>单位工程名称</w:t>
            </w:r>
          </w:p>
        </w:tc>
        <w:tc>
          <w:tcPr>
            <w:tcW w:w="1729" w:type="dxa"/>
            <w:vAlign w:val="center"/>
          </w:tcPr>
          <w:p>
            <w:pPr>
              <w:snapToGrid w:val="0"/>
              <w:jc w:val="center"/>
              <w:rPr>
                <w:rFonts w:ascii="宋体" w:hAnsi="宋体"/>
                <w:b/>
                <w:snapToGrid w:val="0"/>
                <w:color w:val="auto"/>
                <w:szCs w:val="21"/>
              </w:rPr>
            </w:pPr>
            <w:r>
              <w:rPr>
                <w:rFonts w:hint="eastAsia" w:ascii="宋体" w:hAnsi="宋体"/>
                <w:b/>
                <w:snapToGrid w:val="0"/>
                <w:color w:val="auto"/>
                <w:szCs w:val="21"/>
              </w:rPr>
              <w:t>最高投标限价</w:t>
            </w:r>
          </w:p>
        </w:tc>
        <w:tc>
          <w:tcPr>
            <w:tcW w:w="1729" w:type="dxa"/>
            <w:vAlign w:val="center"/>
          </w:tcPr>
          <w:p>
            <w:pPr>
              <w:snapToGrid w:val="0"/>
              <w:jc w:val="center"/>
              <w:rPr>
                <w:rFonts w:ascii="宋体" w:hAnsi="宋体"/>
                <w:b/>
                <w:snapToGrid w:val="0"/>
                <w:color w:val="auto"/>
                <w:szCs w:val="21"/>
              </w:rPr>
            </w:pPr>
            <w:r>
              <w:rPr>
                <w:rFonts w:hint="eastAsia" w:ascii="宋体" w:hAnsi="宋体"/>
                <w:b/>
                <w:snapToGrid w:val="0"/>
                <w:color w:val="auto"/>
                <w:szCs w:val="21"/>
              </w:rPr>
              <w:t>安全防护、文明施工措施费</w:t>
            </w:r>
          </w:p>
        </w:tc>
        <w:tc>
          <w:tcPr>
            <w:tcW w:w="1348" w:type="dxa"/>
            <w:vAlign w:val="center"/>
          </w:tcPr>
          <w:p>
            <w:pPr>
              <w:snapToGrid w:val="0"/>
              <w:jc w:val="center"/>
              <w:rPr>
                <w:rFonts w:ascii="宋体" w:hAnsi="宋体"/>
                <w:b/>
                <w:snapToGrid w:val="0"/>
                <w:color w:val="auto"/>
                <w:szCs w:val="21"/>
              </w:rPr>
            </w:pPr>
            <w:r>
              <w:rPr>
                <w:rFonts w:hint="eastAsia" w:ascii="宋体" w:hAnsi="宋体"/>
                <w:b/>
                <w:snapToGrid w:val="0"/>
                <w:color w:val="auto"/>
                <w:szCs w:val="21"/>
              </w:rPr>
              <w:t>暂列金额</w:t>
            </w:r>
          </w:p>
        </w:tc>
        <w:tc>
          <w:tcPr>
            <w:tcW w:w="1347" w:type="dxa"/>
            <w:vAlign w:val="center"/>
          </w:tcPr>
          <w:p>
            <w:pPr>
              <w:snapToGrid w:val="0"/>
              <w:jc w:val="center"/>
              <w:rPr>
                <w:rFonts w:ascii="宋体" w:hAnsi="宋体"/>
                <w:b/>
                <w:snapToGrid w:val="0"/>
                <w:color w:val="auto"/>
                <w:szCs w:val="21"/>
              </w:rPr>
            </w:pPr>
            <w:r>
              <w:rPr>
                <w:rFonts w:hint="eastAsia" w:ascii="宋体" w:hAnsi="宋体"/>
                <w:b/>
                <w:snapToGrid w:val="0"/>
                <w:color w:val="auto"/>
                <w:szCs w:val="21"/>
              </w:rPr>
              <w:t>专业工程暂估价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21" w:type="dxa"/>
            <w:vAlign w:val="center"/>
          </w:tcPr>
          <w:p>
            <w:pPr>
              <w:snapToGrid w:val="0"/>
              <w:jc w:val="center"/>
              <w:rPr>
                <w:rFonts w:ascii="宋体" w:hAnsi="宋体"/>
                <w:snapToGrid w:val="0"/>
                <w:color w:val="auto"/>
                <w:szCs w:val="21"/>
              </w:rPr>
            </w:pPr>
            <w:r>
              <w:rPr>
                <w:rFonts w:hint="eastAsia" w:ascii="宋体" w:hAnsi="宋体"/>
                <w:snapToGrid w:val="0"/>
                <w:color w:val="auto"/>
                <w:szCs w:val="21"/>
              </w:rPr>
              <w:t>1</w:t>
            </w:r>
          </w:p>
        </w:tc>
        <w:tc>
          <w:tcPr>
            <w:tcW w:w="2513" w:type="dxa"/>
            <w:vAlign w:val="center"/>
          </w:tcPr>
          <w:p>
            <w:pPr>
              <w:snapToGrid w:val="0"/>
              <w:rPr>
                <w:rFonts w:ascii="宋体" w:hAnsi="宋体"/>
                <w:snapToGrid w:val="0"/>
                <w:color w:val="auto"/>
                <w:szCs w:val="21"/>
              </w:rPr>
            </w:pPr>
          </w:p>
        </w:tc>
        <w:tc>
          <w:tcPr>
            <w:tcW w:w="1729" w:type="dxa"/>
            <w:vAlign w:val="center"/>
          </w:tcPr>
          <w:p>
            <w:pPr>
              <w:jc w:val="right"/>
              <w:rPr>
                <w:rFonts w:ascii="宋体" w:hAnsi="宋体" w:cs="宋体"/>
                <w:color w:val="auto"/>
                <w:szCs w:val="21"/>
              </w:rPr>
            </w:pPr>
          </w:p>
        </w:tc>
        <w:tc>
          <w:tcPr>
            <w:tcW w:w="1729" w:type="dxa"/>
            <w:vAlign w:val="center"/>
          </w:tcPr>
          <w:p>
            <w:pPr>
              <w:jc w:val="right"/>
              <w:rPr>
                <w:rFonts w:ascii="宋体" w:hAnsi="宋体" w:cs="宋体"/>
                <w:color w:val="auto"/>
                <w:szCs w:val="21"/>
              </w:rPr>
            </w:pPr>
          </w:p>
        </w:tc>
        <w:tc>
          <w:tcPr>
            <w:tcW w:w="1348" w:type="dxa"/>
            <w:vAlign w:val="center"/>
          </w:tcPr>
          <w:p>
            <w:pPr>
              <w:jc w:val="right"/>
              <w:rPr>
                <w:rFonts w:ascii="宋体" w:hAnsi="宋体" w:cs="宋体"/>
                <w:color w:val="auto"/>
                <w:szCs w:val="21"/>
              </w:rPr>
            </w:pPr>
          </w:p>
        </w:tc>
        <w:tc>
          <w:tcPr>
            <w:tcW w:w="1347" w:type="dxa"/>
            <w:vAlign w:val="center"/>
          </w:tcPr>
          <w:p>
            <w:pPr>
              <w:jc w:val="righ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21" w:type="dxa"/>
            <w:vAlign w:val="center"/>
          </w:tcPr>
          <w:p>
            <w:pPr>
              <w:snapToGrid w:val="0"/>
              <w:jc w:val="center"/>
              <w:rPr>
                <w:rFonts w:ascii="宋体" w:hAnsi="宋体"/>
                <w:snapToGrid w:val="0"/>
                <w:color w:val="auto"/>
                <w:szCs w:val="21"/>
              </w:rPr>
            </w:pPr>
            <w:r>
              <w:rPr>
                <w:rFonts w:hint="eastAsia" w:ascii="宋体" w:hAnsi="宋体"/>
                <w:snapToGrid w:val="0"/>
                <w:color w:val="auto"/>
                <w:szCs w:val="21"/>
              </w:rPr>
              <w:t>2</w:t>
            </w:r>
          </w:p>
        </w:tc>
        <w:tc>
          <w:tcPr>
            <w:tcW w:w="2513" w:type="dxa"/>
            <w:vAlign w:val="center"/>
          </w:tcPr>
          <w:p>
            <w:pPr>
              <w:snapToGrid w:val="0"/>
              <w:rPr>
                <w:rFonts w:ascii="宋体" w:hAnsi="宋体"/>
                <w:snapToGrid w:val="0"/>
                <w:color w:val="auto"/>
                <w:szCs w:val="21"/>
              </w:rPr>
            </w:pPr>
          </w:p>
        </w:tc>
        <w:tc>
          <w:tcPr>
            <w:tcW w:w="1729" w:type="dxa"/>
            <w:vAlign w:val="center"/>
          </w:tcPr>
          <w:p>
            <w:pPr>
              <w:jc w:val="right"/>
              <w:rPr>
                <w:rFonts w:ascii="宋体" w:hAnsi="宋体" w:cs="宋体"/>
                <w:color w:val="auto"/>
                <w:szCs w:val="21"/>
              </w:rPr>
            </w:pPr>
          </w:p>
        </w:tc>
        <w:tc>
          <w:tcPr>
            <w:tcW w:w="1729" w:type="dxa"/>
            <w:vAlign w:val="center"/>
          </w:tcPr>
          <w:p>
            <w:pPr>
              <w:jc w:val="right"/>
              <w:rPr>
                <w:rFonts w:ascii="宋体" w:hAnsi="宋体" w:cs="宋体"/>
                <w:color w:val="auto"/>
                <w:szCs w:val="21"/>
              </w:rPr>
            </w:pPr>
          </w:p>
        </w:tc>
        <w:tc>
          <w:tcPr>
            <w:tcW w:w="1348" w:type="dxa"/>
            <w:vAlign w:val="center"/>
          </w:tcPr>
          <w:p>
            <w:pPr>
              <w:jc w:val="right"/>
              <w:rPr>
                <w:rFonts w:ascii="宋体" w:hAnsi="宋体" w:cs="宋体"/>
                <w:color w:val="auto"/>
                <w:szCs w:val="21"/>
              </w:rPr>
            </w:pPr>
          </w:p>
        </w:tc>
        <w:tc>
          <w:tcPr>
            <w:tcW w:w="1347" w:type="dxa"/>
            <w:vAlign w:val="center"/>
          </w:tcPr>
          <w:p>
            <w:pPr>
              <w:jc w:val="righ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21" w:type="dxa"/>
            <w:vAlign w:val="center"/>
          </w:tcPr>
          <w:p>
            <w:pPr>
              <w:snapToGrid w:val="0"/>
              <w:jc w:val="center"/>
              <w:rPr>
                <w:rFonts w:ascii="宋体" w:hAnsi="宋体"/>
                <w:snapToGrid w:val="0"/>
                <w:color w:val="auto"/>
                <w:szCs w:val="21"/>
              </w:rPr>
            </w:pPr>
            <w:r>
              <w:rPr>
                <w:rFonts w:hint="eastAsia" w:ascii="宋体" w:hAnsi="宋体"/>
                <w:snapToGrid w:val="0"/>
                <w:color w:val="auto"/>
                <w:szCs w:val="21"/>
              </w:rPr>
              <w:t>3</w:t>
            </w:r>
          </w:p>
        </w:tc>
        <w:tc>
          <w:tcPr>
            <w:tcW w:w="2513" w:type="dxa"/>
            <w:vAlign w:val="center"/>
          </w:tcPr>
          <w:p>
            <w:pPr>
              <w:snapToGrid w:val="0"/>
              <w:rPr>
                <w:rFonts w:ascii="宋体" w:hAnsi="宋体"/>
                <w:snapToGrid w:val="0"/>
                <w:color w:val="auto"/>
                <w:szCs w:val="21"/>
              </w:rPr>
            </w:pPr>
          </w:p>
        </w:tc>
        <w:tc>
          <w:tcPr>
            <w:tcW w:w="1729" w:type="dxa"/>
            <w:vAlign w:val="center"/>
          </w:tcPr>
          <w:p>
            <w:pPr>
              <w:jc w:val="right"/>
              <w:rPr>
                <w:rFonts w:ascii="宋体" w:hAnsi="宋体" w:cs="宋体"/>
                <w:color w:val="auto"/>
                <w:szCs w:val="21"/>
              </w:rPr>
            </w:pPr>
          </w:p>
        </w:tc>
        <w:tc>
          <w:tcPr>
            <w:tcW w:w="1729" w:type="dxa"/>
            <w:vAlign w:val="center"/>
          </w:tcPr>
          <w:p>
            <w:pPr>
              <w:jc w:val="right"/>
              <w:rPr>
                <w:rFonts w:ascii="宋体" w:hAnsi="宋体" w:cs="宋体"/>
                <w:color w:val="auto"/>
                <w:szCs w:val="21"/>
              </w:rPr>
            </w:pPr>
          </w:p>
        </w:tc>
        <w:tc>
          <w:tcPr>
            <w:tcW w:w="1348" w:type="dxa"/>
            <w:vAlign w:val="center"/>
          </w:tcPr>
          <w:p>
            <w:pPr>
              <w:jc w:val="right"/>
              <w:rPr>
                <w:rFonts w:ascii="宋体" w:hAnsi="宋体" w:cs="宋体"/>
                <w:color w:val="auto"/>
                <w:szCs w:val="21"/>
              </w:rPr>
            </w:pPr>
          </w:p>
        </w:tc>
        <w:tc>
          <w:tcPr>
            <w:tcW w:w="1347" w:type="dxa"/>
            <w:vAlign w:val="center"/>
          </w:tcPr>
          <w:p>
            <w:pPr>
              <w:jc w:val="righ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34" w:type="dxa"/>
            <w:gridSpan w:val="2"/>
            <w:vAlign w:val="center"/>
          </w:tcPr>
          <w:p>
            <w:pPr>
              <w:snapToGrid w:val="0"/>
              <w:jc w:val="center"/>
              <w:rPr>
                <w:rFonts w:ascii="宋体" w:hAnsi="宋体"/>
                <w:snapToGrid w:val="0"/>
                <w:color w:val="auto"/>
                <w:szCs w:val="21"/>
              </w:rPr>
            </w:pPr>
            <w:r>
              <w:rPr>
                <w:rFonts w:hint="eastAsia" w:ascii="宋体" w:hAnsi="宋体"/>
                <w:snapToGrid w:val="0"/>
                <w:color w:val="auto"/>
                <w:szCs w:val="21"/>
              </w:rPr>
              <w:t>合  计</w:t>
            </w:r>
          </w:p>
        </w:tc>
        <w:tc>
          <w:tcPr>
            <w:tcW w:w="1729" w:type="dxa"/>
            <w:vAlign w:val="center"/>
          </w:tcPr>
          <w:p>
            <w:pPr>
              <w:jc w:val="right"/>
              <w:rPr>
                <w:rFonts w:ascii="宋体" w:hAnsi="宋体" w:cs="宋体"/>
                <w:b/>
                <w:bCs/>
                <w:color w:val="auto"/>
                <w:szCs w:val="21"/>
              </w:rPr>
            </w:pPr>
          </w:p>
        </w:tc>
        <w:tc>
          <w:tcPr>
            <w:tcW w:w="1729" w:type="dxa"/>
            <w:vAlign w:val="center"/>
          </w:tcPr>
          <w:p>
            <w:pPr>
              <w:jc w:val="right"/>
              <w:rPr>
                <w:rFonts w:ascii="宋体" w:hAnsi="宋体" w:cs="宋体"/>
                <w:color w:val="auto"/>
                <w:szCs w:val="21"/>
              </w:rPr>
            </w:pPr>
          </w:p>
        </w:tc>
        <w:tc>
          <w:tcPr>
            <w:tcW w:w="1348" w:type="dxa"/>
            <w:vAlign w:val="center"/>
          </w:tcPr>
          <w:p>
            <w:pPr>
              <w:jc w:val="right"/>
              <w:rPr>
                <w:rFonts w:ascii="宋体" w:hAnsi="宋体" w:cs="宋体"/>
                <w:color w:val="auto"/>
                <w:szCs w:val="21"/>
              </w:rPr>
            </w:pPr>
          </w:p>
        </w:tc>
        <w:tc>
          <w:tcPr>
            <w:tcW w:w="1347" w:type="dxa"/>
            <w:vAlign w:val="center"/>
          </w:tcPr>
          <w:p>
            <w:pPr>
              <w:jc w:val="right"/>
              <w:rPr>
                <w:rFonts w:ascii="宋体" w:hAnsi="宋体" w:cs="宋体"/>
                <w:color w:val="auto"/>
                <w:szCs w:val="21"/>
              </w:rPr>
            </w:pPr>
          </w:p>
        </w:tc>
      </w:tr>
    </w:tbl>
    <w:p>
      <w:pPr>
        <w:rPr>
          <w:rFonts w:ascii="宋体" w:hAnsi="宋体"/>
          <w:color w:val="auto"/>
        </w:rPr>
      </w:pPr>
      <w:bookmarkStart w:id="1697" w:name="_Toc5829"/>
      <w:bookmarkStart w:id="1698" w:name="_Toc152042558"/>
      <w:bookmarkStart w:id="1699" w:name="_Toc15760"/>
      <w:bookmarkStart w:id="1700" w:name="_Toc144974838"/>
      <w:bookmarkStart w:id="1701" w:name="_Toc10824"/>
      <w:bookmarkStart w:id="1702" w:name="_Toc179632793"/>
      <w:bookmarkStart w:id="1703" w:name="_Toc246996344"/>
      <w:bookmarkStart w:id="1704" w:name="_Toc152045776"/>
      <w:bookmarkStart w:id="1705" w:name="_Toc247085859"/>
      <w:bookmarkStart w:id="1706" w:name="_Toc22835"/>
      <w:bookmarkStart w:id="1707" w:name="_Toc992"/>
      <w:bookmarkStart w:id="1708" w:name="_Toc4057"/>
      <w:bookmarkStart w:id="1709" w:name="_Toc4078424"/>
      <w:bookmarkStart w:id="1710" w:name="_Toc246997087"/>
    </w:p>
    <w:p>
      <w:pPr>
        <w:pStyle w:val="4"/>
        <w:ind w:firstLine="482"/>
        <w:rPr>
          <w:color w:val="auto"/>
        </w:rPr>
      </w:pPr>
      <w:bookmarkStart w:id="1711" w:name="_Toc124613031"/>
      <w:bookmarkStart w:id="1712" w:name="_Toc31635"/>
      <w:r>
        <w:rPr>
          <w:rFonts w:hint="eastAsia"/>
          <w:color w:val="auto"/>
        </w:rPr>
        <w:t>4. 工程量清单</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pPr>
        <w:spacing w:line="360" w:lineRule="auto"/>
        <w:rPr>
          <w:rFonts w:ascii="宋体" w:hAnsi="宋体" w:cs="宋体"/>
          <w:color w:val="auto"/>
          <w:sz w:val="24"/>
        </w:rPr>
      </w:pPr>
      <w:r>
        <w:rPr>
          <w:rFonts w:hint="eastAsia" w:ascii="宋体" w:hAnsi="宋体" w:cs="宋体"/>
          <w:color w:val="auto"/>
          <w:sz w:val="24"/>
        </w:rPr>
        <w:t>备注：投标人自行登录惠州市公共资源交易中心建设工程招投标交易平台（http://zyjy.huizhou.gov.cn）进行下载。</w:t>
      </w:r>
    </w:p>
    <w:p>
      <w:pPr>
        <w:pStyle w:val="2"/>
        <w:ind w:firstLine="480"/>
        <w:rPr>
          <w:rFonts w:ascii="宋体" w:hAnsi="宋体" w:cs="宋体"/>
          <w:color w:val="auto"/>
          <w:sz w:val="24"/>
        </w:rPr>
      </w:pPr>
    </w:p>
    <w:p>
      <w:pPr>
        <w:pStyle w:val="2"/>
        <w:ind w:firstLine="480"/>
        <w:rPr>
          <w:rFonts w:ascii="宋体" w:hAnsi="宋体" w:cs="宋体"/>
          <w:color w:val="auto"/>
          <w:sz w:val="24"/>
        </w:rPr>
      </w:pPr>
    </w:p>
    <w:p>
      <w:pPr>
        <w:pStyle w:val="3"/>
        <w:rPr>
          <w:color w:val="auto"/>
        </w:rPr>
      </w:pPr>
      <w:bookmarkStart w:id="1713" w:name="_Toc144974851"/>
      <w:bookmarkStart w:id="1714" w:name="_Toc247096438"/>
      <w:bookmarkStart w:id="1715" w:name="_Toc152042571"/>
      <w:bookmarkStart w:id="1716" w:name="_Toc246997093"/>
      <w:bookmarkStart w:id="1717" w:name="_Toc246996350"/>
      <w:bookmarkStart w:id="1718" w:name="_Toc152045782"/>
      <w:bookmarkStart w:id="1719" w:name="_Toc179632800"/>
      <w:bookmarkStart w:id="1720" w:name="_Toc247085866"/>
      <w:r>
        <w:rPr>
          <w:color w:val="auto"/>
        </w:rPr>
        <w:br w:type="page"/>
      </w:r>
      <w:bookmarkStart w:id="1721" w:name="_Toc4343"/>
      <w:bookmarkStart w:id="1722" w:name="_Toc1734"/>
      <w:bookmarkStart w:id="1723" w:name="_Toc22744"/>
      <w:bookmarkStart w:id="1724" w:name="_Toc124613032"/>
      <w:bookmarkStart w:id="1725" w:name="_Toc4078425"/>
      <w:bookmarkStart w:id="1726" w:name="_Toc18124"/>
      <w:bookmarkStart w:id="1727" w:name="_Toc11550"/>
      <w:bookmarkStart w:id="1728" w:name="_Toc9805"/>
      <w:bookmarkStart w:id="1729" w:name="_Toc7888"/>
      <w:r>
        <w:rPr>
          <w:rFonts w:hint="eastAsia"/>
          <w:color w:val="auto"/>
        </w:rPr>
        <w:t>第七章 图纸</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pPr>
        <w:spacing w:line="360" w:lineRule="auto"/>
        <w:rPr>
          <w:rFonts w:ascii="宋体" w:hAnsi="宋体" w:cs="宋体"/>
          <w:color w:val="auto"/>
          <w:sz w:val="24"/>
        </w:rPr>
      </w:pPr>
      <w:r>
        <w:rPr>
          <w:rFonts w:hint="eastAsia" w:ascii="宋体" w:hAnsi="宋体" w:cs="宋体"/>
          <w:color w:val="auto"/>
          <w:sz w:val="24"/>
        </w:rPr>
        <w:t>备注：投标人自行登录惠州市公共资源交易中心建设工程招投标交易平台（http://zyjy.huizhou.gov.cn）进行下载。</w:t>
      </w:r>
    </w:p>
    <w:p>
      <w:pPr>
        <w:spacing w:line="360" w:lineRule="auto"/>
        <w:rPr>
          <w:rFonts w:ascii="宋体" w:hAnsi="宋体" w:cs="宋体"/>
          <w:color w:val="auto"/>
          <w:sz w:val="24"/>
        </w:rPr>
      </w:pPr>
    </w:p>
    <w:p>
      <w:pPr>
        <w:spacing w:line="360" w:lineRule="auto"/>
        <w:jc w:val="center"/>
        <w:outlineLvl w:val="0"/>
        <w:rPr>
          <w:rFonts w:ascii="宋体" w:hAnsi="宋体"/>
          <w:b/>
          <w:color w:val="auto"/>
          <w:sz w:val="36"/>
        </w:rPr>
      </w:pPr>
      <w:r>
        <w:rPr>
          <w:rFonts w:ascii="宋体" w:hAnsi="宋体"/>
          <w:color w:val="auto"/>
        </w:rPr>
        <w:br w:type="page"/>
      </w:r>
      <w:bookmarkStart w:id="1730" w:name="_Toc247085870"/>
      <w:bookmarkStart w:id="1731" w:name="_Toc31117"/>
      <w:bookmarkStart w:id="1732" w:name="_Toc152042574"/>
      <w:bookmarkStart w:id="1733" w:name="_Toc179632804"/>
      <w:bookmarkStart w:id="1734" w:name="_Toc144974854"/>
      <w:bookmarkStart w:id="1735" w:name="_Toc246997096"/>
      <w:bookmarkStart w:id="1736" w:name="_Toc124613033"/>
      <w:bookmarkStart w:id="1737" w:name="_Toc4078426"/>
      <w:bookmarkStart w:id="1738" w:name="_Toc3636"/>
      <w:bookmarkStart w:id="1739" w:name="_Toc246996353"/>
      <w:bookmarkStart w:id="1740" w:name="_Toc30013"/>
      <w:bookmarkStart w:id="1741" w:name="_Toc31771"/>
      <w:bookmarkStart w:id="1742" w:name="_Toc152045785"/>
      <w:bookmarkStart w:id="1743" w:name="_Toc24847"/>
      <w:bookmarkStart w:id="1744" w:name="_Toc25325"/>
      <w:bookmarkStart w:id="1745" w:name="_Toc20375"/>
      <w:r>
        <w:rPr>
          <w:rFonts w:hint="eastAsia" w:ascii="宋体" w:hAnsi="宋体"/>
          <w:b/>
          <w:bCs/>
          <w:color w:val="auto"/>
          <w:sz w:val="36"/>
          <w:szCs w:val="36"/>
        </w:rPr>
        <w:t>第八</w:t>
      </w:r>
      <w:r>
        <w:rPr>
          <w:rFonts w:hint="eastAsia" w:ascii="宋体" w:hAnsi="宋体"/>
          <w:b/>
          <w:color w:val="auto"/>
          <w:sz w:val="36"/>
        </w:rPr>
        <w:t>章</w:t>
      </w:r>
      <w:r>
        <w:rPr>
          <w:rFonts w:ascii="宋体" w:hAnsi="宋体"/>
          <w:b/>
          <w:color w:val="auto"/>
          <w:sz w:val="36"/>
        </w:rPr>
        <w:t xml:space="preserve"> </w:t>
      </w:r>
      <w:r>
        <w:rPr>
          <w:rFonts w:hint="eastAsia" w:ascii="宋体" w:hAnsi="宋体"/>
          <w:b/>
          <w:color w:val="auto"/>
          <w:sz w:val="36"/>
        </w:rPr>
        <w:t>技术标准和要求</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pPr>
        <w:spacing w:line="360" w:lineRule="auto"/>
        <w:jc w:val="center"/>
        <w:rPr>
          <w:rFonts w:ascii="宋体" w:hAnsi="宋体"/>
          <w:color w:val="auto"/>
          <w:sz w:val="24"/>
        </w:rPr>
      </w:pPr>
      <w:r>
        <w:rPr>
          <w:rFonts w:hint="eastAsia" w:ascii="宋体" w:hAnsi="宋体"/>
          <w:color w:val="auto"/>
          <w:sz w:val="24"/>
        </w:rPr>
        <w:t>（招标人可根据项目实际情况进行调整）</w:t>
      </w:r>
    </w:p>
    <w:p>
      <w:pPr>
        <w:spacing w:line="360" w:lineRule="auto"/>
        <w:rPr>
          <w:rFonts w:ascii="宋体" w:hAnsi="宋体"/>
          <w:color w:val="auto"/>
        </w:rPr>
      </w:pPr>
    </w:p>
    <w:p>
      <w:pPr>
        <w:spacing w:line="400" w:lineRule="exact"/>
        <w:rPr>
          <w:rFonts w:ascii="宋体" w:hAnsi="宋体"/>
          <w:color w:val="auto"/>
        </w:rPr>
      </w:pPr>
    </w:p>
    <w:p>
      <w:pPr>
        <w:pStyle w:val="4"/>
        <w:ind w:firstLine="482"/>
        <w:rPr>
          <w:color w:val="auto"/>
        </w:rPr>
      </w:pPr>
      <w:r>
        <w:rPr>
          <w:color w:val="auto"/>
        </w:rPr>
        <w:br w:type="page"/>
      </w:r>
      <w:bookmarkStart w:id="1746" w:name="_Toc26146"/>
      <w:bookmarkStart w:id="1747" w:name="_Toc9424"/>
      <w:bookmarkStart w:id="1748" w:name="_Toc28537"/>
      <w:bookmarkStart w:id="1749" w:name="_Toc4407"/>
      <w:bookmarkStart w:id="1750" w:name="_Toc124613034"/>
      <w:bookmarkStart w:id="1751" w:name="_Toc16616"/>
      <w:bookmarkStart w:id="1752" w:name="_Toc23714"/>
      <w:bookmarkStart w:id="1753" w:name="_Toc28020"/>
      <w:bookmarkStart w:id="1754" w:name="_Toc4078427"/>
      <w:r>
        <w:rPr>
          <w:rFonts w:hint="eastAsia"/>
          <w:color w:val="auto"/>
        </w:rPr>
        <w:t>1.招标工程现场施工条件</w:t>
      </w:r>
      <w:bookmarkEnd w:id="1746"/>
      <w:bookmarkEnd w:id="1747"/>
      <w:bookmarkEnd w:id="1748"/>
      <w:bookmarkEnd w:id="1749"/>
      <w:bookmarkEnd w:id="1750"/>
      <w:bookmarkEnd w:id="1751"/>
      <w:bookmarkEnd w:id="1752"/>
      <w:bookmarkEnd w:id="1753"/>
      <w:bookmarkEnd w:id="175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 施工的具体位置及可交付中标人施工安排的用地范围见总平面图，坐标水准点由招标人负责提供。</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 中标人按照其施工组织设计中的水电负荷及施工现场实际情况在施工场地边缘选择合适的施工用水、用电驳接点，并进行接驳，接驳点由中标人自行选择，接驳报装及施工场地内外接驳工程（含施工用水、用电的管线，施工用水表、电表、其它接驳工程材料及安装等）。施工场地内施工用水、用电的管线由中标人负责根据施工需要自行解决。要求中标人安装独立的施工用水表、电表，并承担实际用水、用电产生的费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1.3施工范围内的临时便道及临时排水设施由中标人负责根据施工需要修筑并维护，并在投标报价时考虑所需费用。</w:t>
      </w:r>
    </w:p>
    <w:p>
      <w:pPr>
        <w:adjustRightInd w:val="0"/>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上述1.2、1.3条产生的费用，已包括在中标人中标价包干范围内，由中标人负责交纳，结算时不再调整。各投标人的投标报价，应包含上述费用在内，若中标人报价中漏报，该项费用视为已包括在其他费用中，其后果由中标人承担。</w:t>
      </w:r>
      <w:bookmarkStart w:id="1755" w:name="_Toc313869913"/>
    </w:p>
    <w:p>
      <w:pPr>
        <w:pStyle w:val="4"/>
        <w:ind w:firstLine="482"/>
        <w:rPr>
          <w:color w:val="auto"/>
        </w:rPr>
      </w:pPr>
      <w:bookmarkStart w:id="1756" w:name="_Toc12641"/>
      <w:bookmarkStart w:id="1757" w:name="_Toc9174"/>
      <w:bookmarkStart w:id="1758" w:name="_Toc3448"/>
      <w:bookmarkStart w:id="1759" w:name="_Toc370238414"/>
      <w:bookmarkStart w:id="1760" w:name="_Toc124613035"/>
      <w:bookmarkStart w:id="1761" w:name="_Toc28802"/>
      <w:bookmarkStart w:id="1762" w:name="_Toc7966"/>
      <w:bookmarkStart w:id="1763" w:name="_Toc4078428"/>
      <w:bookmarkStart w:id="1764" w:name="_Toc3379"/>
      <w:bookmarkStart w:id="1765" w:name="_Toc1895"/>
      <w:r>
        <w:rPr>
          <w:rFonts w:hint="eastAsia"/>
          <w:color w:val="auto"/>
        </w:rPr>
        <w:t>2.工程质量控制标准和使用材料的要求</w:t>
      </w:r>
      <w:bookmarkEnd w:id="1755"/>
      <w:bookmarkEnd w:id="1756"/>
      <w:bookmarkEnd w:id="1757"/>
      <w:bookmarkEnd w:id="1758"/>
      <w:bookmarkEnd w:id="1759"/>
      <w:bookmarkEnd w:id="1760"/>
      <w:bookmarkEnd w:id="1761"/>
      <w:bookmarkEnd w:id="1762"/>
      <w:bookmarkEnd w:id="1763"/>
      <w:bookmarkEnd w:id="1764"/>
      <w:bookmarkEnd w:id="1765"/>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工程质量控制标准：本工程要求严格按照国家有关施工及验收规范、技术标准进行施工，符合国家颁发的有关质量验评标准，工程质量等级为合格。中标人在施工中如果工程质量不符合设计要求和有关规定，招标人要求停工和返工时，中标人必须立即执行，并承担由此产生的各种费用，工期不予顺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2.2使用材料的要求</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2.2.1  本工程使用的建筑材料、设备应附有出厂合格证明、试验报告及具有法律效力的检测部门出具的检验报告等资料。中标人须确保材料和证明的真实性，严格按先试后用原则，并应提供招标人和监理方副本各一份。如一方对材料、设备有异议，应进行二次检验，如检验合格，检验费用由持有异议的一方负责，否则由采购方承担；</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2.2.2  本工程中，如果有由招标人负责供应的材料及设备，中标人收到图纸后，即根据工程的进度和需要及时做出由招标人供货材料的供应计划，报现场监理工程师和招标人审定；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2.2.3  本工程使用的主要材料须提供样板并经监理单位确认及招标人认可，符合工程要求，方可订货使用。如发现货不对板和质量问题的，招标人和监理单位有权拒用，并由中标人承担损失；</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2.2.4  施工中，如果发生设计变更或现场签证，必须按照《惠州市市级政府投资项目管理办法》（惠府〔2019〕54号）和国家、省、市关于政府投资的相关管理办法和规定办理相关手续，否则不予认可，如因审批和建设时序发生矛盾，中标人可向监理和招标人提出顺延工期。</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2.2.5  工程中所使用的砼预制构件，必须经监理工程师确认其质量符合设计要求的厂家方可进场使用。</w:t>
      </w:r>
    </w:p>
    <w:p>
      <w:pPr>
        <w:pStyle w:val="4"/>
        <w:ind w:firstLine="482"/>
        <w:rPr>
          <w:color w:val="auto"/>
        </w:rPr>
      </w:pPr>
      <w:bookmarkStart w:id="1766" w:name="_Toc124613036"/>
      <w:bookmarkStart w:id="1767" w:name="_Toc13416"/>
      <w:bookmarkStart w:id="1768" w:name="_Toc12301"/>
      <w:bookmarkStart w:id="1769" w:name="_Toc370238415"/>
      <w:bookmarkStart w:id="1770" w:name="_Toc30081"/>
      <w:bookmarkStart w:id="1771" w:name="_Toc4078429"/>
      <w:bookmarkStart w:id="1772" w:name="_Toc313869914"/>
      <w:bookmarkStart w:id="1773" w:name="_Toc15014"/>
      <w:bookmarkStart w:id="1774" w:name="_Toc14784"/>
      <w:bookmarkStart w:id="1775" w:name="_Toc7826"/>
      <w:bookmarkStart w:id="1776" w:name="_Toc26632"/>
      <w:r>
        <w:rPr>
          <w:rFonts w:hint="eastAsia"/>
          <w:color w:val="auto"/>
        </w:rPr>
        <w:t>3.工程招标范围、内容和承包方式</w:t>
      </w:r>
      <w:bookmarkEnd w:id="1766"/>
      <w:bookmarkEnd w:id="1767"/>
      <w:bookmarkEnd w:id="1768"/>
      <w:bookmarkEnd w:id="1769"/>
      <w:bookmarkEnd w:id="1770"/>
      <w:bookmarkEnd w:id="1771"/>
      <w:bookmarkEnd w:id="1772"/>
      <w:bookmarkEnd w:id="1773"/>
      <w:bookmarkEnd w:id="1774"/>
      <w:bookmarkEnd w:id="1775"/>
      <w:bookmarkEnd w:id="177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3.1工程招标范围及内容：</w:t>
      </w:r>
      <w:bookmarkStart w:id="1777" w:name="_Toc313869915"/>
      <w:r>
        <w:rPr>
          <w:rFonts w:hint="eastAsia" w:ascii="宋体" w:hAnsi="宋体" w:cs="宋体"/>
          <w:color w:val="auto"/>
          <w:sz w:val="24"/>
        </w:rPr>
        <w:t>按招标人提供的施工图和有关资料及说明，包括</w:t>
      </w:r>
      <w:r>
        <w:rPr>
          <w:rFonts w:hint="eastAsia" w:ascii="宋体" w:hAnsi="宋体" w:cs="宋体"/>
          <w:color w:val="auto"/>
          <w:sz w:val="24"/>
          <w:u w:val="single"/>
        </w:rPr>
        <w:t xml:space="preserve">      </w:t>
      </w:r>
      <w:r>
        <w:rPr>
          <w:rFonts w:hint="eastAsia" w:ascii="宋体" w:hAnsi="宋体" w:cs="宋体"/>
          <w:color w:val="auto"/>
          <w:sz w:val="24"/>
        </w:rPr>
        <w:t>等的施工及保修（具体施工内容以施工图为准）。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工程承包方式：中标人为本工程施工总/专业承包单位。包人工、包材料、包机械、包质量、包工期、包安全。不允许转包，不允许违法分包。对总承包单位不具有施工资质的专业工程或国家、广东省的法律法规允许分包的部分工程，总承包单位在分包前，必须得到招标人同意，才能分包给具有相应施工资质的企业，并报建设行政主管部门备案。中标人以招标人发布的工程量清单进行报价并按其所报分项工程综合单价包干，图纸范围内的措施项目费按其所报措施项目费总价包干。其包干价投标人应承担的风险包括：</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3.2.1  施工期间人工费（工程造价管理机构发布的造价调整除外）、材料（水泥、钢筋、商品混凝土、砂、石及其他主材（具体由招标人根据项目特点及主材造价占总造价权重指定）除外）价格以及机械台班价格上涨；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  施工期间水泥、钢筋、商品混凝土、砂、石及其他主材（具体由招标人根据项目特点及主材造价占总造价权重指定）市场价格波动范围在招标人确定预算相应材料价格±5%（含±5%）的范围内；</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  中标人所报的措施项目费（含临时设施费用）一般不得调增，但漏项、专业工程暂估价和设计变更引起的措施项目费的变化，经招标人、设计单位及其他相关单位认可后可以调整的除外；</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3.2.4  措施项目费中可能包括的内容，各投标人必须全面考虑，若中标人报价中漏报，该项费用视为已包括在其他费用中，其后果由中标人承担。</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3.2.5  其合同工期内除不可抗力原因外，所有为了达到在合同工期内完工所需的各种工程措施和费用。</w:t>
      </w:r>
    </w:p>
    <w:p>
      <w:pPr>
        <w:pStyle w:val="4"/>
        <w:ind w:firstLine="482"/>
        <w:rPr>
          <w:color w:val="auto"/>
        </w:rPr>
      </w:pPr>
      <w:bookmarkStart w:id="1778" w:name="_Toc124613037"/>
      <w:bookmarkStart w:id="1779" w:name="_Toc19664"/>
      <w:bookmarkStart w:id="1780" w:name="_Toc3221"/>
      <w:bookmarkStart w:id="1781" w:name="_Toc27737"/>
      <w:bookmarkStart w:id="1782" w:name="_Toc4889"/>
      <w:bookmarkStart w:id="1783" w:name="_Toc11867"/>
      <w:bookmarkStart w:id="1784" w:name="_Toc24098"/>
      <w:bookmarkStart w:id="1785" w:name="_Toc3277"/>
      <w:bookmarkStart w:id="1786" w:name="_Toc370238416"/>
      <w:bookmarkStart w:id="1787" w:name="_Toc4078430"/>
      <w:r>
        <w:rPr>
          <w:rFonts w:hint="eastAsia"/>
          <w:color w:val="auto"/>
        </w:rPr>
        <w:t>4.工期要求和规定</w:t>
      </w:r>
      <w:bookmarkEnd w:id="1777"/>
      <w:bookmarkEnd w:id="1778"/>
      <w:bookmarkEnd w:id="1779"/>
      <w:bookmarkEnd w:id="1780"/>
      <w:bookmarkEnd w:id="1781"/>
      <w:bookmarkEnd w:id="1782"/>
      <w:bookmarkEnd w:id="1783"/>
      <w:bookmarkEnd w:id="1784"/>
      <w:bookmarkEnd w:id="1785"/>
      <w:bookmarkEnd w:id="1786"/>
      <w:bookmarkEnd w:id="178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4.1本工程工期要求详见投标须知前附表。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招标人欢迎各投标人根据企业自身实际能力，在确保安全生产、质量、施工组织和施工方法合理、可行的前提下，对本工程的工期进行优化并经监理方批准，缩短工期。其中雨天、节假日及因施工单位的施工质量不合格或施工工序颠倒造成的返工所耽误的工期，不能顺延。遇不可抗力因素影响，工期可以顺延，要求本工程全部按期完成，按期完成不奖不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4.3若因招标人的原因造成工期延误的，工期可相应顺延；若因中标人的原因造成工期延误的，从延期的第三天起，按中标价每天罚款0.2‰。在施工期间，由于中标人原因造成工期延误，当工程实际施工进度比计划施工进度慢时，招标人对中标人提出书面警告，并要求中标人在规定的时间内将工期赶回，赶工产生的费用由中标人自行承担。若中标人在此期间不能将工期赶回，并被招标人认定不能按要求工期完工，则招标人有权单方终止施工承包合同。原中标人工期延误给招标人造成的损失及赶工产生的费用，由原中标人承担。并由建设行政主管部门根据相关法律、法规对违约的中标人给予相应的行政和经济处罚。</w:t>
      </w:r>
    </w:p>
    <w:p>
      <w:pPr>
        <w:pStyle w:val="4"/>
        <w:ind w:firstLine="482"/>
        <w:rPr>
          <w:color w:val="auto"/>
        </w:rPr>
      </w:pPr>
      <w:bookmarkStart w:id="1788" w:name="_Toc313869916"/>
      <w:bookmarkStart w:id="1789" w:name="_Toc2904"/>
      <w:bookmarkStart w:id="1790" w:name="_Toc19119"/>
      <w:bookmarkStart w:id="1791" w:name="_Toc27381"/>
      <w:bookmarkStart w:id="1792" w:name="_Toc20113"/>
      <w:bookmarkStart w:id="1793" w:name="_Toc370238417"/>
      <w:bookmarkStart w:id="1794" w:name="_Toc4078431"/>
      <w:bookmarkStart w:id="1795" w:name="_Toc124613038"/>
      <w:bookmarkStart w:id="1796" w:name="_Toc5435"/>
      <w:bookmarkStart w:id="1797" w:name="_Toc32098"/>
      <w:bookmarkStart w:id="1798" w:name="_Toc30286"/>
      <w:r>
        <w:rPr>
          <w:rFonts w:hint="eastAsia"/>
          <w:color w:val="auto"/>
        </w:rPr>
        <w:t>5.工程竣工资料要求</w:t>
      </w:r>
      <w:bookmarkEnd w:id="1788"/>
      <w:bookmarkEnd w:id="1789"/>
      <w:bookmarkEnd w:id="1790"/>
      <w:bookmarkEnd w:id="1791"/>
      <w:bookmarkEnd w:id="1792"/>
      <w:bookmarkEnd w:id="1793"/>
      <w:bookmarkEnd w:id="1794"/>
      <w:bookmarkEnd w:id="1795"/>
      <w:bookmarkEnd w:id="1796"/>
      <w:bookmarkEnd w:id="1797"/>
      <w:bookmarkEnd w:id="179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5.1中标人必须按照城市建设档案管理的有关规定，在工程施工过程中及时做好工程档案的收集、汇总、整理工作。</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5.2中标人在工程竣工验收后30天内，应向招标人提供符合国家档案部门要求，按规格编制成册的完整的工程竣工图及有关的工程技术档案资料一式四份，其中原件二份、复印件二份。经监理方签收同时提交招标人归档，并同时提交有关归档的证明文件。</w:t>
      </w:r>
    </w:p>
    <w:p>
      <w:pPr>
        <w:pStyle w:val="4"/>
        <w:ind w:firstLine="482"/>
        <w:rPr>
          <w:color w:val="auto"/>
        </w:rPr>
      </w:pPr>
      <w:bookmarkStart w:id="1799" w:name="_Toc5111"/>
      <w:bookmarkStart w:id="1800" w:name="_Toc18867"/>
      <w:bookmarkStart w:id="1801" w:name="_Toc313869917"/>
      <w:bookmarkStart w:id="1802" w:name="_Toc27426"/>
      <w:bookmarkStart w:id="1803" w:name="_Toc349"/>
      <w:bookmarkStart w:id="1804" w:name="_Toc4078432"/>
      <w:bookmarkStart w:id="1805" w:name="_Toc370238418"/>
      <w:bookmarkStart w:id="1806" w:name="_Toc20670"/>
      <w:bookmarkStart w:id="1807" w:name="_Toc4523"/>
      <w:bookmarkStart w:id="1808" w:name="_Toc124613039"/>
      <w:bookmarkStart w:id="1809" w:name="_Toc4863"/>
      <w:r>
        <w:rPr>
          <w:rFonts w:hint="eastAsia"/>
          <w:color w:val="auto"/>
        </w:rPr>
        <w:t>6.工程保修期与缺陷责任期</w:t>
      </w:r>
      <w:bookmarkEnd w:id="1799"/>
      <w:bookmarkEnd w:id="1800"/>
      <w:bookmarkEnd w:id="1801"/>
      <w:bookmarkEnd w:id="1802"/>
      <w:bookmarkEnd w:id="1803"/>
      <w:bookmarkEnd w:id="1804"/>
      <w:bookmarkEnd w:id="1805"/>
      <w:bookmarkEnd w:id="1806"/>
      <w:bookmarkEnd w:id="1807"/>
      <w:bookmarkEnd w:id="1808"/>
      <w:bookmarkEnd w:id="180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工程的保修期限按《建设工程质量管理条例》（国务院[2000]279号令）规定执行。中标人在向招标人提交竣工验收报告时，应向招标人出具质量保修书。质量保修书中应当明确建设工程的保修范围，保修期限和保修责任等。保修期自竣工验收合格之日起计，在保修期内因施工质量而造成返修，其费用由中标人负责。本工程的质量保证金为结算审定价的 3%，本工程的质量缺陷责任期根据《建设工程质量保证金管理办法》（建质[2017]138号）的规定，确定为</w:t>
      </w:r>
      <w:r>
        <w:rPr>
          <w:rFonts w:hint="eastAsia" w:ascii="宋体" w:hAnsi="宋体" w:cs="宋体"/>
          <w:color w:val="auto"/>
          <w:sz w:val="24"/>
          <w:u w:val="single"/>
        </w:rPr>
        <w:t xml:space="preserve">    </w:t>
      </w:r>
      <w:r>
        <w:rPr>
          <w:rFonts w:hint="eastAsia" w:ascii="宋体" w:hAnsi="宋体" w:cs="宋体"/>
          <w:color w:val="auto"/>
          <w:sz w:val="24"/>
        </w:rPr>
        <w:t>年。</w:t>
      </w:r>
    </w:p>
    <w:p>
      <w:pPr>
        <w:pStyle w:val="4"/>
        <w:ind w:firstLine="482"/>
        <w:rPr>
          <w:color w:val="auto"/>
        </w:rPr>
      </w:pPr>
      <w:bookmarkStart w:id="1810" w:name="_Toc23936"/>
      <w:bookmarkStart w:id="1811" w:name="_Toc11299"/>
      <w:bookmarkStart w:id="1812" w:name="_Toc3074"/>
      <w:bookmarkStart w:id="1813" w:name="_Toc9989"/>
      <w:bookmarkStart w:id="1814" w:name="_Toc124613040"/>
      <w:bookmarkStart w:id="1815" w:name="_Toc4078433"/>
      <w:bookmarkStart w:id="1816" w:name="_Toc4636"/>
      <w:bookmarkStart w:id="1817" w:name="_Toc11451"/>
      <w:bookmarkStart w:id="1818" w:name="_Toc23414"/>
      <w:r>
        <w:rPr>
          <w:rFonts w:hint="eastAsia"/>
          <w:color w:val="auto"/>
        </w:rPr>
        <w:t>7.工程款结算及拨付方式</w:t>
      </w:r>
      <w:bookmarkEnd w:id="1810"/>
      <w:bookmarkEnd w:id="1811"/>
      <w:bookmarkEnd w:id="1812"/>
      <w:bookmarkEnd w:id="1813"/>
      <w:bookmarkEnd w:id="1814"/>
      <w:bookmarkEnd w:id="1815"/>
      <w:bookmarkEnd w:id="1816"/>
      <w:bookmarkEnd w:id="1817"/>
      <w:bookmarkEnd w:id="181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按工程量清单计价方式进行结算，以施工图内容施工，措施项目费按中标人所报措施项目费总价包干，暂列金额、清单漏项、专业工程暂估价部分及设计变更部分的措施项目费按实际发生工程量进行结算。分项工程采用固定单价的合同形式，该固定单价为中标人在清单报价书中承诺的各分项工程综合单价，工程量按实计算。清单漏项及设计变更增加（减少）的分项工程，数量按实际发生工程量调整，相应分项工程单价按以下原则确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7.1.1设计变更及现场签证必须按照《惠州市市级政府投资项目管理办法》（惠府〔2019〕54号）和国家、省、市关于政府投资的相关管理办法和规定办理相关手续，否则不予认可；</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7.1.2清单漏项、设计变更导致增加部分的工程量清单的分项工程综合单价按下列原则确定：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7.1.2.1中标人报价中有相应分项工程综合单价的，若中标人所报分项工程的综合单价超过招标人确定的预算中对应分项工程综合单价的10%时，按招标人确定的分项工程综合单价确定；其他情况按中标人所报分项工程综合单价进行确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7.1.2.2中标人报价中无相应分项工程综合单价，但该分项工程包含的材料中标人有报价的，若中标人所报材料单价超过招标人确定的预算的相应材料单价的10%时，按招标人确定预算的材料单价进行调整；其他情况按中标人所报材料单价确定该分项工程的材料价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7.1.2.3招标人确定的预算中无相应分项工程综合单价，且该分项工程清单包含的材料中标人没有报价的，由中标人依据变更工程资料（或漏项签证）、计量规则和计价办法、工程造价管理机构发布的施工期间参考价格和中标人投标价格下浮率提出变更（或漏项）工程单价或总价，经招标人审核确定。其中，中标人投标价格下浮率=（1－中标价/最高投标限价）×100%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7.1.3 设计变更减少部分的工程量清单的分项工程综合单价按下列原则调整：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中标人报价中有相应分项工程综合单价的，若中标人所报分项工程的综合单价低于招标人确定的预算中对应分项工程综合单价的90%时，按招标人确定的分项工程综合单价确定；其他情况按中标人所报分项工程综合单价进行确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7.1.4 设计变更增加或减少部分的工程量超过工程量清单的10%时，增加或减少工程量超过10%部分的综合单价可按招标人确定的单价及投标价格下浮率重新确定。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7.1.5 设计变更部分引起的造价调整招标人应及时确认，并与进度款同步支付，支付比例为确认造价的60%。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7.1.6本条中所述的中标人报价是指本工程投标时中标人提交的投标报价。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7.1.7投标人要根据招标人提供的施工设计图纸及工程量清单认真计算工程量和核对清单项目特征中包含的施工内容。如投标人在招标答疑前对工程量清单提出异议的，招标人经核实后以书面形式对工程量清单进行修正或在中标后结算时以现场签证形式列入结算，若没有提出异议的，在施工过程中发现清单漏项的，按有关程序确认并签证后列入结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7.2 本工程预算中各专业工程的绿色施工安全措施费用详见第六章工程量清单中的《最高投标限价一览表》。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7.2.1按照《广东省建设厅建筑工程安全防护、文明施工措施费用管理办法》《广东省建设工程造价管理规定》《广东省建筑工程计价依据》（2018）以及惠市住建函〔2019〕176号等有关规定，确定绿色施工安全防护措施费；绿色施工安全防护措施费属于不可竞争费用，工程计价时，应单独列项并按本定额相应项目及费率计算。招标人与中标人必须在施工合同中明确约定绿色施工安全防护措施费包括的项目、金额和支付方式等条款；否则作无效投标处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7.2.2各地建设行政主管部门制定的绿色施工安全防护措施补充内容和建设单位对绿色施工安全防护措施有其他要求的，所发生费用应一并列入绿色施工安全防护措施费列支和使用。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7.3 各专业工程其他项目费计价有关规定如下：</w:t>
      </w:r>
    </w:p>
    <w:tbl>
      <w:tblPr>
        <w:tblStyle w:val="4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85"/>
        <w:gridCol w:w="1470"/>
        <w:gridCol w:w="2170"/>
        <w:gridCol w:w="1245"/>
        <w:gridCol w:w="1232"/>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序号</w:t>
            </w:r>
          </w:p>
        </w:tc>
        <w:tc>
          <w:tcPr>
            <w:tcW w:w="1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项目内容</w:t>
            </w:r>
          </w:p>
        </w:tc>
        <w:tc>
          <w:tcPr>
            <w:tcW w:w="21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建筑与装饰工程</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安装工程</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市政工程</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ascii="宋体" w:hAnsi="宋体" w:cs="宋体"/>
                <w:color w:val="auto"/>
                <w:szCs w:val="21"/>
              </w:rPr>
              <w:t>1</w:t>
            </w:r>
          </w:p>
        </w:tc>
        <w:tc>
          <w:tcPr>
            <w:tcW w:w="19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szCs w:val="21"/>
              </w:rPr>
            </w:pPr>
            <w:r>
              <w:rPr>
                <w:rFonts w:hint="eastAsia" w:ascii="宋体" w:hAnsi="宋体" w:cs="宋体"/>
                <w:color w:val="auto"/>
                <w:szCs w:val="21"/>
              </w:rPr>
              <w:t>暂列金额</w:t>
            </w:r>
          </w:p>
        </w:tc>
        <w:tc>
          <w:tcPr>
            <w:tcW w:w="644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szCs w:val="21"/>
              </w:rPr>
            </w:pPr>
            <w:r>
              <w:rPr>
                <w:rFonts w:hint="eastAsia" w:ascii="宋体" w:hAnsi="宋体" w:cs="宋体"/>
                <w:color w:val="auto"/>
                <w:szCs w:val="21"/>
              </w:rPr>
              <w:t>详见第六章工程量清单中的《最高投标限价一览表》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3"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szCs w:val="21"/>
              </w:rPr>
            </w:pPr>
            <w:r>
              <w:rPr>
                <w:rFonts w:ascii="宋体" w:hAnsi="宋体" w:cs="宋体"/>
                <w:color w:val="auto"/>
                <w:szCs w:val="21"/>
              </w:rPr>
              <w:t>2</w:t>
            </w:r>
          </w:p>
        </w:tc>
        <w:tc>
          <w:tcPr>
            <w:tcW w:w="485"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color w:val="auto"/>
                <w:szCs w:val="21"/>
              </w:rPr>
            </w:pPr>
            <w:r>
              <w:rPr>
                <w:rFonts w:hint="eastAsia" w:ascii="宋体" w:hAnsi="宋体" w:cs="宋体"/>
                <w:color w:val="auto"/>
                <w:szCs w:val="21"/>
              </w:rPr>
              <w:t>暂估价</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szCs w:val="21"/>
              </w:rPr>
            </w:pPr>
            <w:r>
              <w:rPr>
                <w:rFonts w:hint="eastAsia" w:ascii="宋体" w:hAnsi="宋体" w:cs="宋体"/>
                <w:color w:val="auto"/>
                <w:szCs w:val="21"/>
              </w:rPr>
              <w:t>材料暂估价</w:t>
            </w:r>
          </w:p>
        </w:tc>
        <w:tc>
          <w:tcPr>
            <w:tcW w:w="6440" w:type="dxa"/>
            <w:gridSpan w:val="4"/>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03" w:type="dxa"/>
            <w:vMerge w:val="continue"/>
            <w:tcBorders>
              <w:left w:val="single" w:color="auto" w:sz="4" w:space="0"/>
              <w:bottom w:val="single" w:color="auto" w:sz="4" w:space="0"/>
              <w:right w:val="single" w:color="auto" w:sz="4" w:space="0"/>
            </w:tcBorders>
            <w:vAlign w:val="center"/>
          </w:tcPr>
          <w:p>
            <w:pPr>
              <w:widowControl/>
              <w:ind w:firstLine="420" w:firstLineChars="200"/>
              <w:jc w:val="center"/>
              <w:rPr>
                <w:rFonts w:ascii="宋体" w:hAnsi="宋体" w:cs="宋体"/>
                <w:color w:val="auto"/>
                <w:szCs w:val="21"/>
              </w:rPr>
            </w:pPr>
          </w:p>
        </w:tc>
        <w:tc>
          <w:tcPr>
            <w:tcW w:w="485" w:type="dxa"/>
            <w:vMerge w:val="continue"/>
            <w:tcBorders>
              <w:left w:val="single" w:color="auto" w:sz="4" w:space="0"/>
              <w:bottom w:val="single" w:color="auto" w:sz="4" w:space="0"/>
              <w:right w:val="single" w:color="auto" w:sz="4" w:space="0"/>
            </w:tcBorders>
            <w:vAlign w:val="center"/>
          </w:tcPr>
          <w:p>
            <w:pPr>
              <w:widowControl/>
              <w:snapToGrid w:val="0"/>
              <w:ind w:firstLine="420" w:firstLineChars="200"/>
              <w:jc w:val="center"/>
              <w:rPr>
                <w:rFonts w:ascii="宋体" w:hAnsi="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szCs w:val="21"/>
              </w:rPr>
            </w:pPr>
            <w:r>
              <w:rPr>
                <w:rFonts w:hint="eastAsia" w:ascii="宋体" w:hAnsi="宋体" w:cs="宋体"/>
                <w:color w:val="auto"/>
                <w:szCs w:val="21"/>
              </w:rPr>
              <w:t>专业工程暂估价</w:t>
            </w:r>
          </w:p>
        </w:tc>
        <w:tc>
          <w:tcPr>
            <w:tcW w:w="6440" w:type="dxa"/>
            <w:gridSpan w:val="4"/>
            <w:tcBorders>
              <w:left w:val="single" w:color="auto" w:sz="4" w:space="0"/>
              <w:right w:val="single" w:color="auto" w:sz="4" w:space="0"/>
            </w:tcBorders>
            <w:vAlign w:val="center"/>
          </w:tcPr>
          <w:p>
            <w:pPr>
              <w:jc w:val="center"/>
              <w:rPr>
                <w:rFonts w:ascii="宋体" w:hAnsi="宋体"/>
                <w:color w:val="auto"/>
                <w:szCs w:val="21"/>
              </w:rPr>
            </w:pPr>
            <w:r>
              <w:rPr>
                <w:rFonts w:hint="eastAsia" w:ascii="宋体" w:hAnsi="宋体" w:cs="宋体"/>
                <w:color w:val="auto"/>
                <w:szCs w:val="21"/>
              </w:rPr>
              <w:t>详见第六章工程量清单中的《最高投标限价一览表》</w:t>
            </w:r>
          </w:p>
        </w:tc>
      </w:tr>
    </w:tbl>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备注：（1）本工程其他项目费中暂列金额是用于编制本工程预算时尚未明确或者不可预见的所需材料、设备、服务的采购，施工中可能发生的工程变更，合同约定调整因素出现时的工程价款调整以及发生的索赔、现场签证确认等的费用，该项报价各投标人不得更改。暂列金额包括的项目须经市财政、招标人等有关部门确认后，方可使用。若有发生，则按实际发生工程量进行结算，若未发生，结算时不予以支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本工程其他项目费中暂估价是用于支付必然发生但暂时不能确定的专业工程的金额，该项报价按招标人以下列出的金额填报，各投标人不得更改。暂估价包括的项目须经市财政、招标人等有关部门确认后，方可使用。若有发生，则按实际发生工程量进行结算，若未发生，结算时不予以支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本工程其他项目费中计日工是为完成招标人提出的施工图纸以外的零星项目或工作费用，该项报价按招标人列出的项目和数量进行自主报价。计日工包括的项目若有发生，则按中标人所报综合单价结合实际发生工程量进行结算，若未发生，结算时不予以支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7.4当中标的施工单位出现严重不平衡报价时，招标人保留调整单价的权利。本工程中标价为中标人所报投标价，中标价为合同价，作为工程付款的依据。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7.5本工程以招标人确定的预算审定价作为本工程的最高投标限价，其具体数额详见第六章工程量清单中的《最高投标限价一览表》。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本工程中标价为中标人所报各单位工程投标价的总和。</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7.6本工程施工期间水泥、钢筋、商品混凝土、砂、石及其他主材（具体由招标人根据项目特点及主材造价占总造价权重指定）施工期间材料单价波动范围超过招标人确定预算相应材料单价±5%（不含±5%）的范围时，按以下方式调整相应材料单价价差，并根据调整的材料单价价差乘以其材料月总消耗量并计入税金后按每月为计价周期进行调整，并依据每月应调整价款调整结算价，具体调整方式如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当施工期某材料市场价高于招标人确定单价，且涨幅超过5%时，结算时需调整单价价差＝（施工期某材料市场价－招标人确定预算中某材料单价×1.05）×100%；（材料市场价按惠州市及周边地区造价管理机构发布的信息价确定，惠州市及周边地区造价管理机构发布的信息价未含的，以招标人确定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当施工期某材料市场价低于招标人确定单价，且跌幅超过5%时，结算时需调整单价价差＝（施工期某材料市场价－招标人确定预算中某材料单价×0.95）×100%；（材料市场价按惠州市及周边地区造价管理机构发布的信息价确定，惠州市及周边地区造价管理机构发布的信息价未含的，以招标人确定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 某材料每月价格变化导致结算价的调整值＝（某材料每月结算时需调整单价价差×某材料月总消耗量）÷（1+综合折税率）×（1+增值税税率）。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 某材料价格变化导致最终结算价的调整值＝某材料每月价格变化导致结算价的调整值之和。</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即：A＝Am+……An</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Am是某材料第m支付期间价格变化导致结算价的调整值；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An是某材料第n支付期间价格变化导致结算价的调整值；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A是某材料价格变化导致最终结算价的调整值。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某材料月总消耗量以监理单位、招标人及相关单位核认的实际施工工程量为准。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（5）上述主材价格变化引起的造价调整招标人应及时确认，并与进度款同步支付，支付比例为确认造价的60%。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7.7本工程执行的计价文件和计价依据包括但不限于以下内容（相关行政主管部门有新颁布文件的，按最新颁布的文件执行）：</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7.7.1建筑与装饰工程按清单计价办法执行《建设工程工程量清单计价规范》（GB50500-2013）、《广东省房屋建筑与装饰工程综合定额(2018)》、粤建市〔2019〕6号、惠市住建函〔2019〕176号、惠市住建函〔2019〕278号文等有关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7.7.2安装工程按清单计价办法执行《建设工程工程量清单计价规范》（GB50500-2013）、《广东省通用安装工程综合定额(2018)》、粤建市〔2019〕6号、惠市住建函〔2019〕176号、惠市住建函〔2019〕278号等有关规定。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7.7.3市政工程按清单计价办法执行《建设工程工程量清单计价规范》（GB50500-2013）、《广东省市政工程综合定额(2018)》、粤建市〔2019〕6号、惠市住建函〔2019〕176号、惠市住建函〔2019〕278号等有关规定。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7.7.4园林绿化工程按清单计价办法执行《建设工程工程量清单计价规范》（GB50500-2013）、《广东省园林绿化工程综合定额（2018）》、粤建市〔2019〕6号、惠市住建函〔2019〕176号、惠市住建函〔2019〕278号等有关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7.7.5修缮部分按《广东省房屋建筑和市政修缮工程综合定额（2012）》执行。</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7.8本工程结算时设计变更及现场签证管理按照《惠州市市级政府投资项目管理办法》（惠府〔2019〕54号）和国家、省、市关于政府投资的相关管理办法和规定办理相关手续。</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7.9本工程具体付款方式如下（本条所述“合同价”是指中标价）：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7.9.1 工程备料预付款：签订合同且进场施工后按该工程合同价（暂列金额除外）的</w:t>
      </w:r>
      <w:r>
        <w:rPr>
          <w:rFonts w:hint="eastAsia" w:ascii="宋体" w:hAnsi="宋体" w:cs="宋体"/>
          <w:color w:val="auto"/>
          <w:sz w:val="24"/>
          <w:u w:val="single"/>
        </w:rPr>
        <w:t xml:space="preserve">    </w:t>
      </w:r>
      <w:r>
        <w:rPr>
          <w:rFonts w:hint="eastAsia" w:ascii="宋体" w:hAnsi="宋体" w:cs="宋体"/>
          <w:color w:val="auto"/>
          <w:sz w:val="24"/>
        </w:rPr>
        <w:t>%拨付。政府投资工程项目禁止施工企业带资施工。</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7.9.2 工程进度款：按监理单位、招标人审定的实际完成工程量相应的进度款的</w:t>
      </w:r>
      <w:r>
        <w:rPr>
          <w:rFonts w:hint="eastAsia" w:ascii="宋体" w:hAnsi="宋体" w:cs="宋体"/>
          <w:color w:val="auto"/>
          <w:sz w:val="24"/>
          <w:u w:val="single"/>
        </w:rPr>
        <w:t xml:space="preserve">   </w:t>
      </w:r>
      <w:r>
        <w:rPr>
          <w:rFonts w:hint="eastAsia" w:ascii="宋体" w:hAnsi="宋体" w:cs="宋体"/>
          <w:color w:val="auto"/>
          <w:sz w:val="24"/>
        </w:rPr>
        <w:t>%（其中当期设计变更部分和主材价格调整部分为60%）每月拨款一次，当工程款（含备料预付款）达到合同价的</w:t>
      </w:r>
      <w:r>
        <w:rPr>
          <w:rFonts w:hint="eastAsia" w:ascii="宋体" w:hAnsi="宋体" w:cs="宋体"/>
          <w:color w:val="auto"/>
          <w:sz w:val="24"/>
          <w:u w:val="single"/>
        </w:rPr>
        <w:t xml:space="preserve">    </w:t>
      </w:r>
      <w:r>
        <w:rPr>
          <w:rFonts w:hint="eastAsia" w:ascii="宋体" w:hAnsi="宋体" w:cs="宋体"/>
          <w:color w:val="auto"/>
          <w:sz w:val="24"/>
        </w:rPr>
        <w:t>%时开始对备料预付款进行抵扣，每次扣除当月进度款的</w:t>
      </w:r>
      <w:r>
        <w:rPr>
          <w:rFonts w:hint="eastAsia" w:ascii="宋体" w:hAnsi="宋体" w:cs="宋体"/>
          <w:color w:val="auto"/>
          <w:sz w:val="24"/>
          <w:u w:val="single"/>
        </w:rPr>
        <w:t xml:space="preserve">    </w:t>
      </w:r>
      <w:r>
        <w:rPr>
          <w:rFonts w:hint="eastAsia" w:ascii="宋体" w:hAnsi="宋体" w:cs="宋体"/>
          <w:color w:val="auto"/>
          <w:sz w:val="24"/>
        </w:rPr>
        <w:t>%，直至全部备料预付款扣完为止；工程竣工验收后付至已完工工程预算审定价的</w:t>
      </w:r>
      <w:r>
        <w:rPr>
          <w:rFonts w:hint="eastAsia" w:ascii="宋体" w:hAnsi="宋体" w:cs="宋体"/>
          <w:color w:val="auto"/>
          <w:sz w:val="24"/>
          <w:u w:val="single"/>
        </w:rPr>
        <w:t xml:space="preserve">     </w:t>
      </w:r>
      <w:r>
        <w:rPr>
          <w:rFonts w:hint="eastAsia" w:ascii="宋体" w:hAnsi="宋体" w:cs="宋体"/>
          <w:color w:val="auto"/>
          <w:sz w:val="24"/>
        </w:rPr>
        <w:t>%；竣工结算完成审查核定且竣工资料提交招标人后支付至该工程结算审定造价的</w:t>
      </w:r>
      <w:r>
        <w:rPr>
          <w:rFonts w:hint="eastAsia" w:ascii="宋体" w:hAnsi="宋体" w:cs="宋体"/>
          <w:color w:val="auto"/>
          <w:sz w:val="24"/>
          <w:u w:val="single"/>
        </w:rPr>
        <w:t xml:space="preserve">    </w:t>
      </w:r>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7.9.3 本招标工程保留结算审定造价的</w:t>
      </w:r>
      <w:r>
        <w:rPr>
          <w:rFonts w:hint="eastAsia" w:ascii="宋体" w:hAnsi="宋体" w:cs="宋体"/>
          <w:color w:val="auto"/>
          <w:sz w:val="24"/>
          <w:u w:val="single"/>
        </w:rPr>
        <w:t xml:space="preserve">    </w:t>
      </w:r>
      <w:r>
        <w:rPr>
          <w:rFonts w:hint="eastAsia" w:ascii="宋体" w:hAnsi="宋体" w:cs="宋体"/>
          <w:color w:val="auto"/>
          <w:sz w:val="24"/>
        </w:rPr>
        <w:t>%作为质量保证金，质量保证金在结算定案完成后，如无出现其他问题，自工程竣工验收合格之日起满一年后，七天内付清。否则，依据《工程质量保修书》完成保修义务后，根据质量缺陷的责任承担情况确定退还质量保证金的数额。</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7.9.4 若因财政资金不到位或因征地拆迁影响工程进度，引起工程进度款不能按合同要求或有关规定拨付的，招标人不承担因工程款延期拨付给中标人造成的各类损失（如利息、连带责任等）。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7.9.5 本工程工人工资支付按“关于转发《广东省建设工程领域工人工资支付专用账户管理办法》的通知（惠市住建函〔2019〕196号）”要求进行支付（具体在合同中约定）。</w:t>
      </w:r>
    </w:p>
    <w:p>
      <w:pPr>
        <w:adjustRightInd w:val="0"/>
        <w:snapToGrid w:val="0"/>
        <w:spacing w:line="360" w:lineRule="auto"/>
        <w:ind w:firstLine="480" w:firstLineChars="200"/>
        <w:rPr>
          <w:rFonts w:ascii="宋体" w:hAnsi="宋体"/>
          <w:color w:val="auto"/>
        </w:rPr>
      </w:pPr>
      <w:r>
        <w:rPr>
          <w:rFonts w:hint="eastAsia" w:ascii="宋体" w:hAnsi="宋体" w:cs="宋体"/>
          <w:color w:val="auto"/>
          <w:sz w:val="24"/>
        </w:rPr>
        <w:t>7.9.6中标人须按《广东省住房和城乡建设厅关于房屋建筑和市政基础设施工程用工实名管理暂行办法》、惠市规建函〔2018〕370号的有关要求建立用工实名管理制度。</w:t>
      </w:r>
    </w:p>
    <w:p>
      <w:pPr>
        <w:pStyle w:val="4"/>
        <w:ind w:firstLine="482"/>
        <w:rPr>
          <w:color w:val="auto"/>
        </w:rPr>
      </w:pPr>
      <w:bookmarkStart w:id="1819" w:name="_Toc4754"/>
      <w:bookmarkStart w:id="1820" w:name="_Toc25012"/>
      <w:bookmarkStart w:id="1821" w:name="_Toc124613041"/>
      <w:bookmarkStart w:id="1822" w:name="_Toc1641"/>
      <w:bookmarkStart w:id="1823" w:name="_Toc24189"/>
      <w:bookmarkStart w:id="1824" w:name="_Toc13555"/>
      <w:bookmarkStart w:id="1825" w:name="_Toc23093"/>
      <w:bookmarkStart w:id="1826" w:name="_Toc4078434"/>
      <w:bookmarkStart w:id="1827" w:name="_Toc5843"/>
      <w:r>
        <w:rPr>
          <w:rFonts w:hint="eastAsia"/>
          <w:color w:val="auto"/>
        </w:rPr>
        <w:t>8.工程建设执行的标准</w:t>
      </w:r>
      <w:bookmarkEnd w:id="1819"/>
      <w:bookmarkEnd w:id="1820"/>
      <w:bookmarkEnd w:id="1821"/>
      <w:bookmarkEnd w:id="1822"/>
      <w:bookmarkEnd w:id="1823"/>
      <w:bookmarkEnd w:id="1824"/>
      <w:bookmarkEnd w:id="1825"/>
      <w:bookmarkEnd w:id="1826"/>
      <w:bookmarkEnd w:id="182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中标人除按本技术规范、设计文件要求外，所有的施工及工程质量、工程验收采用的规范、标准应符合中华人民共和国国家规范要求和广东省、惠州市有关文件的规定。包括但不限于：</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8.1工程建设法律法规：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·中华人民共和国建筑法（2011年主席令第46号）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·中华人民共和国民法典（2020</w:t>
      </w:r>
      <w:r>
        <w:rPr>
          <w:rFonts w:hint="eastAsia" w:ascii="宋体" w:hAnsi="宋体"/>
          <w:color w:val="auto"/>
          <w:sz w:val="24"/>
        </w:rPr>
        <w:t>年主席令第</w:t>
      </w:r>
      <w:r>
        <w:rPr>
          <w:rFonts w:hint="eastAsia" w:ascii="宋体" w:hAnsi="宋体" w:cs="宋体"/>
          <w:color w:val="auto"/>
          <w:sz w:val="24"/>
        </w:rPr>
        <w:t>45</w:t>
      </w:r>
      <w:r>
        <w:rPr>
          <w:rFonts w:hint="eastAsia" w:ascii="宋体" w:hAnsi="宋体"/>
          <w:color w:val="auto"/>
          <w:sz w:val="24"/>
        </w:rPr>
        <w:t>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·建设项目环境保护管理条例（1998年国务院令第253号）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·建设工程质量管理条例（2000年国务院令第279号）2019年修订</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·建设工程安全生产管理条例（2004年国务院令第393号）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·城市建设档案管理规定（2011年建设部令第90号）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·工程建设标准强制性条文（2009版）</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8.2工程建设技术标准、规范：</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•工程测量规范（GB 50026-2020）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•《砌体结构工程施工质量验收规范》（GB50203-2011）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•砌筑砂浆配合比设计规程（JGJ/T98－2010）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•混凝土质量控制标准（GB 50164－2011）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•混凝土强度检验评定标准（GB/T 50107－2010）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•通用硅酸盐水泥（GB 175－2007）</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•水泥标准稠度用水量、凝结时间、安全性检验方法（GB/T 1346-2011）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•普通混凝土用砂、石质量及检验方法标准（JGJ 52－2006）</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•混凝土物理力学性能试验方法标准（GB/T 50081－2019）</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•混凝土用水标准（JGJ 63－2006）</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•建筑机械使用安全技术规程（JGJ 33－2012）</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•普通混凝土拌合物性能试验方法标准（GB/T 50080－2016）</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•混凝土外加剂应用技术规范（GB 50119－2013）</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•钢筋混凝土用热轧带肋钢筋（GB/T 1499.2-2018）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•钢筋混凝土用钢 第1部分：热轧光圆钢筋（GB/T 1499.1-2017）</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•普通混凝土配合比设计规程（JGJ55－2011）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•岩土工程验收和质量评定标准（YB 9010—98）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•给水排水管道工程施工及验收规范（GB 50268—2008）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•给水排水构筑物工程施工及验收规范（GB 50141-2008）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•建筑排水高密度聚乙烯（HDPE）管道工程技术规程(CECS 282:2010)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•电气装置安装工程低压电器施工及验收规范(GB 50254-2014)</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•电气装置安装工程电力变流设备施工及验收规范(GB 50255-2014)</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•《城市道路照明工程施工及验收规程》(CJJ89-2012)</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•《城镇道路工程施工与质量验收规范》CJJ1-2008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•公路沥青路面施工技术规范 JTG F40-2004</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•公路路基施工技术规范（JTG/T 3610-2019）</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•公路路面基层施工技术细则（JTG/T F20-2015）</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•公路交通安全设施施工技术规范 JTG/T 3671—2021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•公路土工试验规程JTG 3430-2020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•公路工程沥青及沥青混合料试验规程JTG E20-2011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•沥青路面施工及验收规范GB50092-96</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•城市人行天桥与人行地道技术规范（CJJ69—95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•建筑地基基础工程施工质量验收规范（GB 50202-2018）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•地下工程防水技术规范（GB50108-2008）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•地下防水工程质量验收规范（GB50208-2011）</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•公路桥涵施工技术规范（JTG/T 3650-2020）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•城市桥梁工程施工与质量验收规范CJJ2-2008</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上述规范、标准、规程仅是本工程的最基本依据，并未包括实施中所涉及的所有规定、标准和规程。在施工中对于上述未尽事宜，按国家和地方现行的规定执行（相关行政主管部门有新颁布文件的，按最新颁布的文件执行）。</w:t>
      </w:r>
    </w:p>
    <w:p>
      <w:pPr>
        <w:pStyle w:val="4"/>
        <w:numPr>
          <w:ilvl w:val="255"/>
          <w:numId w:val="0"/>
        </w:numPr>
        <w:ind w:firstLine="482" w:firstLineChars="200"/>
        <w:rPr>
          <w:color w:val="auto"/>
        </w:rPr>
      </w:pPr>
      <w:r>
        <w:rPr>
          <w:color w:val="auto"/>
        </w:rPr>
        <w:t>9.</w:t>
      </w:r>
      <w:r>
        <w:rPr>
          <w:rFonts w:hint="eastAsia"/>
          <w:color w:val="auto"/>
        </w:rPr>
        <w:t>危大工程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由招标人根据《危险性较大的分部分项工程安全管理规定》（中华人民共和国住房和城乡建设部令第</w:t>
      </w:r>
      <w:r>
        <w:rPr>
          <w:rFonts w:ascii="宋体" w:hAnsi="宋体" w:cs="宋体"/>
          <w:color w:val="auto"/>
          <w:sz w:val="24"/>
        </w:rPr>
        <w:t>37号</w:t>
      </w:r>
      <w:r>
        <w:rPr>
          <w:rFonts w:hint="eastAsia" w:ascii="宋体" w:hAnsi="宋体" w:cs="宋体"/>
          <w:color w:val="auto"/>
          <w:sz w:val="24"/>
        </w:rPr>
        <w:t>）及《住房城乡建设部办公厅关于实施＜危险性较大的分部分项工程安全管理规定＞有关问题的通知》（建办质〔2018〕31号）的相关规定并结合工程实际情况列出危大工程清单。</w:t>
      </w:r>
    </w:p>
    <w:p>
      <w:pPr>
        <w:pStyle w:val="2"/>
        <w:ind w:firstLine="0" w:firstLineChars="0"/>
        <w:rPr>
          <w:color w:val="auto"/>
        </w:rPr>
      </w:pPr>
    </w:p>
    <w:p>
      <w:pPr>
        <w:pStyle w:val="3"/>
        <w:rPr>
          <w:color w:val="auto"/>
        </w:rPr>
      </w:pPr>
      <w:r>
        <w:rPr>
          <w:color w:val="auto"/>
        </w:rPr>
        <w:br w:type="page"/>
      </w:r>
      <w:bookmarkStart w:id="1828" w:name="_Toc246997097"/>
      <w:bookmarkStart w:id="1829" w:name="_Toc4078435"/>
      <w:bookmarkStart w:id="1830" w:name="_Toc1588"/>
      <w:bookmarkStart w:id="1831" w:name="_Toc152042575"/>
      <w:bookmarkStart w:id="1832" w:name="_Toc8373"/>
      <w:bookmarkStart w:id="1833" w:name="_Toc246996354"/>
      <w:bookmarkStart w:id="1834" w:name="_Toc7122"/>
      <w:bookmarkStart w:id="1835" w:name="_Toc12511"/>
      <w:bookmarkStart w:id="1836" w:name="_Toc19949"/>
      <w:bookmarkStart w:id="1837" w:name="_Toc124613042"/>
      <w:bookmarkStart w:id="1838" w:name="_Toc247085872"/>
      <w:bookmarkStart w:id="1839" w:name="_Toc144974855"/>
      <w:bookmarkStart w:id="1840" w:name="_Toc22627"/>
      <w:bookmarkStart w:id="1841" w:name="_Toc152045786"/>
      <w:bookmarkStart w:id="1842" w:name="_Toc179632806"/>
      <w:bookmarkStart w:id="1843" w:name="_Toc6559"/>
      <w:r>
        <w:rPr>
          <w:rFonts w:hint="eastAsia"/>
          <w:color w:val="auto"/>
        </w:rPr>
        <w:t>第九章 投标文件格式</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pPr>
        <w:spacing w:line="400" w:lineRule="exact"/>
        <w:rPr>
          <w:rFonts w:ascii="宋体" w:hAnsi="宋体"/>
          <w:color w:val="auto"/>
        </w:rPr>
      </w:pPr>
    </w:p>
    <w:p>
      <w:pPr>
        <w:spacing w:line="360" w:lineRule="auto"/>
        <w:ind w:firstLine="420" w:firstLineChars="200"/>
        <w:jc w:val="left"/>
        <w:rPr>
          <w:rFonts w:ascii="宋体" w:hAnsi="宋体"/>
          <w:color w:val="auto"/>
          <w:sz w:val="20"/>
        </w:rPr>
      </w:pPr>
      <w:r>
        <w:rPr>
          <w:rFonts w:ascii="宋体" w:hAnsi="宋体"/>
          <w:color w:val="auto"/>
        </w:rPr>
        <w:br w:type="page"/>
      </w:r>
    </w:p>
    <w:p>
      <w:pPr>
        <w:spacing w:line="360" w:lineRule="auto"/>
        <w:rPr>
          <w:rFonts w:ascii="宋体" w:hAnsi="宋体"/>
          <w:color w:val="auto"/>
          <w:sz w:val="20"/>
        </w:rPr>
      </w:pPr>
    </w:p>
    <w:p>
      <w:pPr>
        <w:spacing w:line="360" w:lineRule="auto"/>
        <w:jc w:val="center"/>
        <w:rPr>
          <w:rFonts w:ascii="宋体" w:hAnsi="宋体"/>
          <w:color w:val="auto"/>
          <w:sz w:val="36"/>
        </w:rPr>
      </w:pPr>
      <w:r>
        <w:rPr>
          <w:rFonts w:ascii="宋体" w:hAnsi="宋体"/>
          <w:color w:val="auto"/>
          <w:sz w:val="36"/>
          <w:u w:val="single"/>
        </w:rPr>
        <w:t xml:space="preserve">                </w:t>
      </w:r>
      <w:r>
        <w:rPr>
          <w:rFonts w:hint="eastAsia" w:ascii="宋体" w:hAnsi="宋体"/>
          <w:color w:val="auto"/>
          <w:sz w:val="36"/>
        </w:rPr>
        <w:t>（项目名称）</w:t>
      </w:r>
      <w:r>
        <w:rPr>
          <w:rFonts w:hint="eastAsia" w:ascii="宋体" w:hAnsi="宋体"/>
          <w:color w:val="auto"/>
          <w:sz w:val="36"/>
          <w:szCs w:val="36"/>
        </w:rPr>
        <w:t>施工招标</w:t>
      </w:r>
    </w:p>
    <w:p>
      <w:pPr>
        <w:spacing w:line="360" w:lineRule="auto"/>
        <w:jc w:val="center"/>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20"/>
        </w:rPr>
      </w:pPr>
    </w:p>
    <w:p>
      <w:pPr>
        <w:spacing w:line="360" w:lineRule="auto"/>
        <w:rPr>
          <w:rFonts w:ascii="宋体" w:hAnsi="宋体"/>
          <w:color w:val="auto"/>
          <w:sz w:val="20"/>
        </w:rPr>
      </w:pPr>
    </w:p>
    <w:p>
      <w:pPr>
        <w:spacing w:line="360" w:lineRule="auto"/>
        <w:jc w:val="center"/>
        <w:rPr>
          <w:rFonts w:ascii="宋体" w:hAnsi="宋体"/>
          <w:color w:val="auto"/>
          <w:sz w:val="84"/>
        </w:rPr>
      </w:pPr>
      <w:r>
        <w:rPr>
          <w:rFonts w:hint="eastAsia" w:ascii="宋体" w:hAnsi="宋体"/>
          <w:color w:val="auto"/>
          <w:sz w:val="84"/>
        </w:rPr>
        <w:t>投</w:t>
      </w:r>
      <w:r>
        <w:rPr>
          <w:rFonts w:ascii="宋体" w:hAnsi="宋体"/>
          <w:color w:val="auto"/>
          <w:sz w:val="84"/>
        </w:rPr>
        <w:t xml:space="preserve"> </w:t>
      </w:r>
      <w:r>
        <w:rPr>
          <w:rFonts w:hint="eastAsia" w:ascii="宋体" w:hAnsi="宋体"/>
          <w:color w:val="auto"/>
          <w:sz w:val="84"/>
        </w:rPr>
        <w:t>标</w:t>
      </w:r>
      <w:r>
        <w:rPr>
          <w:rFonts w:ascii="宋体" w:hAnsi="宋体"/>
          <w:color w:val="auto"/>
          <w:sz w:val="84"/>
        </w:rPr>
        <w:t xml:space="preserve"> </w:t>
      </w:r>
      <w:r>
        <w:rPr>
          <w:rFonts w:hint="eastAsia" w:ascii="宋体" w:hAnsi="宋体"/>
          <w:color w:val="auto"/>
          <w:sz w:val="84"/>
        </w:rPr>
        <w:t>文</w:t>
      </w:r>
      <w:r>
        <w:rPr>
          <w:rFonts w:ascii="宋体" w:hAnsi="宋体"/>
          <w:color w:val="auto"/>
          <w:sz w:val="84"/>
        </w:rPr>
        <w:t xml:space="preserve"> </w:t>
      </w:r>
      <w:r>
        <w:rPr>
          <w:rFonts w:hint="eastAsia" w:ascii="宋体" w:hAnsi="宋体"/>
          <w:color w:val="auto"/>
          <w:sz w:val="84"/>
        </w:rPr>
        <w:t>件</w:t>
      </w:r>
    </w:p>
    <w:p>
      <w:pPr>
        <w:spacing w:line="360" w:lineRule="auto"/>
        <w:jc w:val="center"/>
        <w:outlineLvl w:val="1"/>
        <w:rPr>
          <w:rFonts w:ascii="宋体" w:hAnsi="宋体"/>
          <w:b/>
          <w:color w:val="auto"/>
          <w:sz w:val="32"/>
        </w:rPr>
      </w:pPr>
      <w:bookmarkStart w:id="1844" w:name="_Toc5432"/>
      <w:bookmarkStart w:id="1845" w:name="_Toc22795"/>
      <w:bookmarkStart w:id="1846" w:name="_Toc124613043"/>
      <w:r>
        <w:rPr>
          <w:rFonts w:hint="eastAsia" w:ascii="宋体" w:hAnsi="宋体"/>
          <w:b/>
          <w:color w:val="auto"/>
          <w:sz w:val="32"/>
        </w:rPr>
        <w:t>（第一册</w:t>
      </w:r>
      <w:r>
        <w:rPr>
          <w:rFonts w:ascii="宋体" w:hAnsi="宋体"/>
          <w:b/>
          <w:color w:val="auto"/>
          <w:sz w:val="32"/>
        </w:rPr>
        <w:t xml:space="preserve"> </w:t>
      </w:r>
      <w:r>
        <w:rPr>
          <w:rFonts w:hint="eastAsia" w:ascii="宋体" w:hAnsi="宋体"/>
          <w:b/>
          <w:color w:val="auto"/>
          <w:sz w:val="32"/>
        </w:rPr>
        <w:t>商务投标文件）</w:t>
      </w:r>
      <w:bookmarkEnd w:id="1844"/>
      <w:bookmarkEnd w:id="1845"/>
      <w:bookmarkEnd w:id="1846"/>
    </w:p>
    <w:p>
      <w:pPr>
        <w:spacing w:line="360" w:lineRule="auto"/>
        <w:rPr>
          <w:rFonts w:ascii="宋体" w:hAnsi="宋体"/>
          <w:color w:val="auto"/>
          <w:sz w:val="28"/>
        </w:rPr>
      </w:pPr>
    </w:p>
    <w:p>
      <w:pPr>
        <w:spacing w:line="360" w:lineRule="auto"/>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spacing w:line="360" w:lineRule="auto"/>
        <w:rPr>
          <w:rFonts w:ascii="宋体" w:hAnsi="宋体"/>
          <w:color w:val="auto"/>
          <w:sz w:val="28"/>
        </w:rPr>
      </w:pPr>
    </w:p>
    <w:p>
      <w:pPr>
        <w:spacing w:line="360" w:lineRule="auto"/>
        <w:ind w:firstLine="1120" w:firstLineChars="400"/>
        <w:jc w:val="left"/>
        <w:rPr>
          <w:rFonts w:ascii="宋体" w:hAnsi="宋体"/>
          <w:color w:val="auto"/>
          <w:sz w:val="28"/>
          <w:u w:val="single"/>
        </w:rPr>
      </w:pPr>
      <w:r>
        <w:rPr>
          <w:rFonts w:hint="eastAsia" w:ascii="宋体" w:hAnsi="宋体"/>
          <w:color w:val="auto"/>
          <w:sz w:val="28"/>
        </w:rPr>
        <w:t>投标人：</w:t>
      </w:r>
      <w:r>
        <w:rPr>
          <w:rFonts w:ascii="宋体" w:hAnsi="宋体"/>
          <w:color w:val="auto"/>
          <w:sz w:val="28"/>
          <w:u w:val="single"/>
        </w:rPr>
        <w:t xml:space="preserve">      </w:t>
      </w:r>
      <w:r>
        <w:rPr>
          <w:rFonts w:hint="eastAsia" w:ascii="宋体" w:hAnsi="宋体"/>
          <w:color w:val="auto"/>
          <w:sz w:val="28"/>
          <w:u w:val="single"/>
        </w:rPr>
        <w:t>（此处填入投标人名称即可）</w:t>
      </w:r>
      <w:r>
        <w:rPr>
          <w:rFonts w:ascii="宋体" w:hAnsi="宋体"/>
          <w:color w:val="auto"/>
          <w:sz w:val="28"/>
          <w:u w:val="single"/>
        </w:rPr>
        <w:t xml:space="preserve">        </w:t>
      </w:r>
    </w:p>
    <w:p>
      <w:pPr>
        <w:spacing w:line="360" w:lineRule="auto"/>
        <w:ind w:firstLine="1120" w:firstLineChars="400"/>
        <w:jc w:val="left"/>
        <w:rPr>
          <w:rFonts w:ascii="宋体" w:hAnsi="宋体"/>
          <w:color w:val="auto"/>
          <w:sz w:val="28"/>
          <w:u w:val="single"/>
        </w:rPr>
      </w:pPr>
    </w:p>
    <w:p>
      <w:pPr>
        <w:spacing w:line="360" w:lineRule="auto"/>
        <w:jc w:val="center"/>
        <w:rPr>
          <w:rFonts w:ascii="宋体" w:hAnsi="宋体"/>
          <w:color w:val="auto"/>
          <w:sz w:val="20"/>
        </w:rPr>
      </w:pPr>
      <w:r>
        <w:rPr>
          <w:rFonts w:ascii="宋体" w:hAnsi="宋体"/>
          <w:color w:val="auto"/>
          <w:sz w:val="28"/>
          <w:u w:val="single"/>
        </w:rPr>
        <w:t xml:space="preserve">        </w:t>
      </w:r>
      <w:r>
        <w:rPr>
          <w:rFonts w:hint="eastAsia" w:ascii="宋体" w:hAnsi="宋体"/>
          <w:color w:val="auto"/>
          <w:sz w:val="28"/>
        </w:rPr>
        <w:t>年</w:t>
      </w:r>
      <w:r>
        <w:rPr>
          <w:rFonts w:ascii="宋体" w:hAnsi="宋体"/>
          <w:color w:val="auto"/>
          <w:sz w:val="28"/>
          <w:u w:val="single"/>
        </w:rPr>
        <w:t xml:space="preserve">        </w:t>
      </w:r>
      <w:r>
        <w:rPr>
          <w:rFonts w:hint="eastAsia" w:ascii="宋体" w:hAnsi="宋体"/>
          <w:color w:val="auto"/>
          <w:sz w:val="28"/>
        </w:rPr>
        <w:t>月</w:t>
      </w:r>
      <w:r>
        <w:rPr>
          <w:rFonts w:ascii="宋体" w:hAnsi="宋体"/>
          <w:color w:val="auto"/>
          <w:sz w:val="28"/>
          <w:u w:val="single"/>
        </w:rPr>
        <w:t xml:space="preserve">        </w:t>
      </w:r>
      <w:r>
        <w:rPr>
          <w:rFonts w:hint="eastAsia" w:ascii="宋体" w:hAnsi="宋体"/>
          <w:color w:val="auto"/>
          <w:sz w:val="28"/>
        </w:rPr>
        <w:t>日</w:t>
      </w:r>
    </w:p>
    <w:p>
      <w:pPr>
        <w:spacing w:line="360" w:lineRule="auto"/>
        <w:ind w:firstLine="1120" w:firstLineChars="400"/>
        <w:jc w:val="left"/>
        <w:rPr>
          <w:rFonts w:ascii="宋体" w:hAnsi="宋体"/>
          <w:color w:val="auto"/>
          <w:sz w:val="28"/>
        </w:rPr>
      </w:pPr>
    </w:p>
    <w:p>
      <w:pPr>
        <w:spacing w:line="440" w:lineRule="exact"/>
        <w:rPr>
          <w:rFonts w:ascii="宋体" w:hAnsi="宋体"/>
          <w:color w:val="auto"/>
        </w:rPr>
      </w:pPr>
    </w:p>
    <w:p>
      <w:pPr>
        <w:pStyle w:val="4"/>
        <w:ind w:firstLine="0" w:firstLineChars="0"/>
        <w:jc w:val="center"/>
        <w:rPr>
          <w:color w:val="auto"/>
          <w:sz w:val="36"/>
          <w:szCs w:val="36"/>
        </w:rPr>
      </w:pPr>
      <w:bookmarkStart w:id="1847" w:name="_Toc838"/>
      <w:bookmarkStart w:id="1848" w:name="_Toc247085873"/>
      <w:bookmarkStart w:id="1849" w:name="_Toc246997098"/>
      <w:bookmarkStart w:id="1850" w:name="_Toc179632807"/>
      <w:bookmarkStart w:id="1851" w:name="_Toc9760"/>
      <w:bookmarkStart w:id="1852" w:name="_Toc2255"/>
      <w:bookmarkStart w:id="1853" w:name="_Toc144974856"/>
      <w:bookmarkStart w:id="1854" w:name="_Toc32046"/>
      <w:bookmarkStart w:id="1855" w:name="_Toc246996355"/>
      <w:bookmarkStart w:id="1856" w:name="_Toc152042576"/>
      <w:bookmarkStart w:id="1857" w:name="_Toc18862"/>
      <w:bookmarkStart w:id="1858" w:name="_Toc152045787"/>
      <w:bookmarkStart w:id="1859" w:name="_Toc4078436"/>
      <w:r>
        <w:rPr>
          <w:rFonts w:hint="eastAsia"/>
          <w:color w:val="auto"/>
        </w:rPr>
        <w:br w:type="page"/>
      </w:r>
      <w:bookmarkStart w:id="1860" w:name="_Toc8290"/>
      <w:bookmarkStart w:id="1861" w:name="_Toc124613044"/>
      <w:bookmarkStart w:id="1862" w:name="_Toc9618"/>
      <w:r>
        <w:rPr>
          <w:rFonts w:hint="eastAsia"/>
          <w:color w:val="auto"/>
          <w:sz w:val="36"/>
        </w:rPr>
        <w:t>电子签章和电子签名扉页</w:t>
      </w:r>
      <w:bookmarkEnd w:id="1860"/>
      <w:bookmarkEnd w:id="1861"/>
      <w:bookmarkEnd w:id="1862"/>
    </w:p>
    <w:p>
      <w:pPr>
        <w:snapToGrid w:val="0"/>
        <w:spacing w:line="360" w:lineRule="auto"/>
        <w:jc w:val="center"/>
        <w:rPr>
          <w:rFonts w:ascii="宋体" w:hAnsi="宋体" w:cs="宋体"/>
          <w:b/>
          <w:bCs/>
          <w:color w:val="auto"/>
          <w:sz w:val="24"/>
        </w:rPr>
      </w:pPr>
      <w:r>
        <w:rPr>
          <w:rFonts w:hint="eastAsia" w:ascii="宋体" w:hAnsi="宋体" w:cs="宋体"/>
          <w:b/>
          <w:bCs/>
          <w:color w:val="auto"/>
          <w:sz w:val="24"/>
        </w:rPr>
        <w:t>关于电子签章和电子签名的声明函</w:t>
      </w:r>
    </w:p>
    <w:p>
      <w:pPr>
        <w:snapToGrid w:val="0"/>
        <w:spacing w:line="360" w:lineRule="auto"/>
        <w:rPr>
          <w:rFonts w:ascii="宋体" w:hAnsi="宋体" w:cs="宋体"/>
          <w:color w:val="auto"/>
          <w:sz w:val="24"/>
        </w:rPr>
      </w:pPr>
      <w:r>
        <w:rPr>
          <w:rFonts w:hint="eastAsia" w:ascii="宋体" w:hAnsi="宋体" w:cs="宋体"/>
          <w:color w:val="auto"/>
          <w:sz w:val="24"/>
        </w:rPr>
        <w:t>致招标人：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我方就本投标文件关于电子签章和电子签名的声明如下：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根据《关于建设工程项目启动电子签名（签章）功能的通知》（惠公易函〔2019〕37号）的规定。如我方在递交投标文件截止前仍未到惠州市公共资源交易中心办理电子签名及电子签章的，由此产生的一切后果由我方自行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编制完成后，由拟派出的项目负责人及技术负责人亲笔签名确认后，按规定加盖电子签名（签章）后再上传到惠州市公共资源交易中心建设工程招标投标交易平台。否则由此产生的一切后果由我方自行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3.我方在投标文件中完成电子签章和电子签名即代表我方对投标文件全部承诺内容的认可和确定。</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特此声明！</w:t>
      </w:r>
    </w:p>
    <w:p>
      <w:pPr>
        <w:pStyle w:val="2"/>
        <w:snapToGrid w:val="0"/>
        <w:spacing w:line="480" w:lineRule="auto"/>
        <w:ind w:firstLine="0" w:firstLineChars="0"/>
        <w:rPr>
          <w:rFonts w:ascii="宋体" w:hAnsi="宋体" w:cs="宋体"/>
          <w:color w:val="auto"/>
          <w:sz w:val="24"/>
        </w:rPr>
      </w:pP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投标人（或牵头人）：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（电子签章）</w:t>
      </w: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（电子签名）</w:t>
      </w: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项目负责人：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（亲笔签名）</w:t>
      </w: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技术负责人：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（亲笔签名）</w:t>
      </w:r>
    </w:p>
    <w:p>
      <w:pPr>
        <w:pStyle w:val="2"/>
        <w:spacing w:line="360" w:lineRule="auto"/>
        <w:ind w:firstLine="360"/>
        <w:rPr>
          <w:rFonts w:ascii="宋体" w:hAnsi="宋体" w:cs="宋体"/>
          <w:color w:val="auto"/>
          <w:sz w:val="18"/>
          <w:szCs w:val="18"/>
        </w:rPr>
      </w:pPr>
    </w:p>
    <w:p>
      <w:pPr>
        <w:pStyle w:val="2"/>
        <w:spacing w:line="360" w:lineRule="auto"/>
        <w:ind w:firstLine="360"/>
        <w:rPr>
          <w:rFonts w:ascii="宋体" w:hAnsi="宋体" w:cs="宋体"/>
          <w:color w:val="auto"/>
          <w:sz w:val="18"/>
          <w:szCs w:val="18"/>
        </w:rPr>
      </w:pPr>
      <w:r>
        <w:rPr>
          <w:rFonts w:hint="eastAsia" w:ascii="宋体" w:hAnsi="宋体" w:cs="宋体"/>
          <w:color w:val="auto"/>
          <w:sz w:val="18"/>
          <w:szCs w:val="18"/>
        </w:rPr>
        <w:t xml:space="preserve">                         </w:t>
      </w:r>
    </w:p>
    <w:p>
      <w:pPr>
        <w:pStyle w:val="4"/>
        <w:ind w:firstLine="482"/>
        <w:jc w:val="center"/>
        <w:rPr>
          <w:color w:val="auto"/>
        </w:rPr>
      </w:pPr>
      <w:r>
        <w:rPr>
          <w:rFonts w:hint="eastAsia"/>
          <w:color w:val="auto"/>
        </w:rPr>
        <w:br w:type="page"/>
      </w:r>
      <w:bookmarkStart w:id="1863" w:name="_Toc28550"/>
      <w:bookmarkStart w:id="1864" w:name="_Toc25481"/>
      <w:bookmarkStart w:id="1865" w:name="_Toc124613045"/>
      <w:r>
        <w:rPr>
          <w:rFonts w:hint="eastAsia"/>
          <w:color w:val="auto"/>
        </w:rPr>
        <w:t>目  录</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3"/>
      <w:bookmarkEnd w:id="1864"/>
      <w:bookmarkEnd w:id="1865"/>
    </w:p>
    <w:p>
      <w:pPr>
        <w:spacing w:line="360" w:lineRule="auto"/>
        <w:jc w:val="center"/>
        <w:rPr>
          <w:rFonts w:ascii="宋体" w:hAnsi="宋体"/>
          <w:color w:val="auto"/>
          <w:sz w:val="24"/>
        </w:rPr>
      </w:pPr>
      <w:r>
        <w:rPr>
          <w:rFonts w:hint="eastAsia" w:ascii="宋体" w:hAnsi="宋体"/>
          <w:color w:val="auto"/>
          <w:sz w:val="24"/>
        </w:rPr>
        <w:t>（具体由投标人自拟）</w:t>
      </w:r>
    </w:p>
    <w:p>
      <w:pPr>
        <w:spacing w:line="540" w:lineRule="exact"/>
        <w:rPr>
          <w:rFonts w:ascii="宋体" w:hAnsi="宋体"/>
          <w:color w:val="auto"/>
          <w:sz w:val="24"/>
        </w:rPr>
      </w:pPr>
      <w:r>
        <w:rPr>
          <w:rFonts w:hint="eastAsia" w:ascii="宋体" w:hAnsi="宋体"/>
          <w:color w:val="auto"/>
          <w:sz w:val="24"/>
        </w:rPr>
        <w:t>一、投标函及投标函附录</w:t>
      </w:r>
    </w:p>
    <w:p>
      <w:pPr>
        <w:spacing w:line="540" w:lineRule="exact"/>
        <w:rPr>
          <w:rFonts w:ascii="宋体" w:hAnsi="宋体"/>
          <w:color w:val="auto"/>
          <w:sz w:val="24"/>
        </w:rPr>
      </w:pPr>
      <w:r>
        <w:rPr>
          <w:rFonts w:hint="eastAsia" w:ascii="宋体" w:hAnsi="宋体"/>
          <w:color w:val="auto"/>
          <w:sz w:val="24"/>
        </w:rPr>
        <w:t>二、</w:t>
      </w:r>
      <w:r>
        <w:rPr>
          <w:rFonts w:hint="eastAsia" w:ascii="宋体" w:hAnsi="宋体" w:cs="宋体"/>
          <w:color w:val="auto"/>
          <w:sz w:val="24"/>
        </w:rPr>
        <w:t>法定代表人身份证明或附有法定代表人身份证明的授权委托书</w:t>
      </w:r>
    </w:p>
    <w:p>
      <w:pPr>
        <w:spacing w:line="540" w:lineRule="exact"/>
        <w:rPr>
          <w:rFonts w:ascii="宋体" w:hAnsi="宋体"/>
          <w:color w:val="auto"/>
          <w:sz w:val="24"/>
        </w:rPr>
      </w:pPr>
      <w:r>
        <w:rPr>
          <w:rFonts w:hint="eastAsia" w:ascii="宋体" w:hAnsi="宋体"/>
          <w:color w:val="auto"/>
          <w:sz w:val="24"/>
        </w:rPr>
        <w:t>三、联合体协议书（如有）</w:t>
      </w:r>
    </w:p>
    <w:p>
      <w:pPr>
        <w:spacing w:line="540" w:lineRule="exact"/>
        <w:rPr>
          <w:rFonts w:ascii="宋体" w:hAnsi="宋体"/>
          <w:color w:val="auto"/>
          <w:sz w:val="24"/>
        </w:rPr>
      </w:pPr>
      <w:r>
        <w:rPr>
          <w:rFonts w:hint="eastAsia" w:ascii="宋体" w:hAnsi="宋体"/>
          <w:color w:val="auto"/>
          <w:sz w:val="24"/>
        </w:rPr>
        <w:t>四、投标保证金</w:t>
      </w:r>
      <w:r>
        <w:rPr>
          <w:rFonts w:ascii="宋体" w:hAnsi="宋体"/>
          <w:color w:val="auto"/>
          <w:sz w:val="24"/>
        </w:rPr>
        <w:t xml:space="preserve"> </w:t>
      </w:r>
    </w:p>
    <w:p>
      <w:pPr>
        <w:spacing w:line="540" w:lineRule="exact"/>
        <w:rPr>
          <w:rFonts w:ascii="宋体" w:hAnsi="宋体"/>
          <w:color w:val="auto"/>
          <w:sz w:val="24"/>
        </w:rPr>
      </w:pPr>
      <w:r>
        <w:rPr>
          <w:rFonts w:hint="eastAsia" w:ascii="宋体" w:hAnsi="宋体"/>
          <w:color w:val="auto"/>
          <w:sz w:val="24"/>
        </w:rPr>
        <w:t>五、资格审查资料</w:t>
      </w:r>
    </w:p>
    <w:p>
      <w:pPr>
        <w:spacing w:line="540" w:lineRule="exact"/>
        <w:rPr>
          <w:rFonts w:ascii="宋体" w:hAnsi="宋体"/>
          <w:color w:val="auto"/>
          <w:sz w:val="24"/>
        </w:rPr>
      </w:pPr>
      <w:r>
        <w:rPr>
          <w:rFonts w:hint="eastAsia" w:ascii="宋体" w:hAnsi="宋体"/>
          <w:color w:val="auto"/>
          <w:sz w:val="24"/>
        </w:rPr>
        <w:t>六、其他资料</w:t>
      </w:r>
    </w:p>
    <w:p>
      <w:pPr>
        <w:spacing w:line="540" w:lineRule="exact"/>
        <w:rPr>
          <w:rFonts w:ascii="宋体" w:hAnsi="宋体"/>
          <w:color w:val="auto"/>
          <w:sz w:val="24"/>
        </w:rPr>
      </w:pPr>
      <w:r>
        <w:rPr>
          <w:rFonts w:hint="eastAsia" w:ascii="宋体" w:hAnsi="宋体"/>
          <w:color w:val="auto"/>
          <w:sz w:val="24"/>
        </w:rPr>
        <w:t>七、定标因素表</w:t>
      </w:r>
    </w:p>
    <w:p>
      <w:pPr>
        <w:pStyle w:val="2"/>
        <w:rPr>
          <w:rFonts w:ascii="宋体" w:hAnsi="宋体"/>
          <w:color w:val="auto"/>
        </w:rPr>
      </w:pPr>
    </w:p>
    <w:p>
      <w:pPr>
        <w:pStyle w:val="4"/>
        <w:ind w:firstLine="482"/>
        <w:jc w:val="center"/>
        <w:rPr>
          <w:color w:val="auto"/>
        </w:rPr>
      </w:pPr>
      <w:r>
        <w:rPr>
          <w:color w:val="auto"/>
        </w:rPr>
        <w:br w:type="page"/>
      </w:r>
      <w:bookmarkStart w:id="1866" w:name="_Toc24016"/>
      <w:bookmarkStart w:id="1867" w:name="_Toc152042577"/>
      <w:bookmarkStart w:id="1868" w:name="_Toc179632808"/>
      <w:bookmarkStart w:id="1869" w:name="_Toc144974857"/>
      <w:bookmarkStart w:id="1870" w:name="_Toc4078437"/>
      <w:bookmarkStart w:id="1871" w:name="_Toc1656"/>
      <w:bookmarkStart w:id="1872" w:name="_Toc17669"/>
      <w:bookmarkStart w:id="1873" w:name="_Toc247085874"/>
      <w:bookmarkStart w:id="1874" w:name="_Toc15006"/>
      <w:bookmarkStart w:id="1875" w:name="_Toc124613046"/>
      <w:bookmarkStart w:id="1876" w:name="_Toc246996356"/>
      <w:bookmarkStart w:id="1877" w:name="_Toc246997099"/>
      <w:bookmarkStart w:id="1878" w:name="_Toc152045788"/>
      <w:bookmarkStart w:id="1879" w:name="_Toc26566"/>
      <w:bookmarkStart w:id="1880" w:name="_Toc13122"/>
      <w:bookmarkStart w:id="1881" w:name="_Toc27667"/>
      <w:r>
        <w:rPr>
          <w:rFonts w:hint="eastAsia"/>
          <w:color w:val="auto"/>
          <w:sz w:val="28"/>
        </w:rPr>
        <w:t>一、投标函及投标函附录</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pPr>
        <w:pStyle w:val="5"/>
        <w:ind w:firstLine="482"/>
        <w:jc w:val="center"/>
        <w:rPr>
          <w:color w:val="auto"/>
        </w:rPr>
      </w:pPr>
      <w:bookmarkStart w:id="1882" w:name="_Toc29594"/>
      <w:bookmarkStart w:id="1883" w:name="_Toc12997"/>
      <w:bookmarkStart w:id="1884" w:name="_Toc152045789"/>
      <w:bookmarkStart w:id="1885" w:name="_Toc246997100"/>
      <w:bookmarkStart w:id="1886" w:name="_Toc144974858"/>
      <w:bookmarkStart w:id="1887" w:name="_Toc4078438"/>
      <w:bookmarkStart w:id="1888" w:name="_Toc27105"/>
      <w:bookmarkStart w:id="1889" w:name="_Toc247085875"/>
      <w:bookmarkStart w:id="1890" w:name="_Toc23164"/>
      <w:bookmarkStart w:id="1891" w:name="_Toc4772"/>
      <w:bookmarkStart w:id="1892" w:name="_Toc27696"/>
      <w:bookmarkStart w:id="1893" w:name="_Toc152042578"/>
      <w:bookmarkStart w:id="1894" w:name="_Toc25387"/>
      <w:bookmarkStart w:id="1895" w:name="_Toc124613047"/>
      <w:bookmarkStart w:id="1896" w:name="_Toc179632809"/>
      <w:bookmarkStart w:id="1897" w:name="_Toc6693"/>
      <w:bookmarkStart w:id="1898" w:name="_Toc246996357"/>
      <w:r>
        <w:rPr>
          <w:color w:val="auto"/>
        </w:rPr>
        <w:t>（一）投标函</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pPr>
        <w:spacing w:line="360"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（招标人名称）：</w:t>
      </w:r>
    </w:p>
    <w:p>
      <w:pPr>
        <w:spacing w:line="360" w:lineRule="auto"/>
        <w:ind w:firstLine="480" w:firstLineChars="200"/>
        <w:rPr>
          <w:rFonts w:ascii="宋体" w:hAnsi="宋体" w:cs="宋体"/>
          <w:color w:val="auto"/>
          <w:sz w:val="24"/>
        </w:rPr>
      </w:pPr>
      <w:r>
        <w:rPr>
          <w:rFonts w:hint="eastAsia" w:ascii="宋体" w:hAnsi="宋体" w:cs="宋体"/>
          <w:color w:val="auto"/>
          <w:sz w:val="24"/>
        </w:rPr>
        <w:t>1．我方</w:t>
      </w:r>
      <w:r>
        <w:rPr>
          <w:rFonts w:hint="eastAsia" w:ascii="宋体" w:hAnsi="宋体" w:cs="宋体"/>
          <w:color w:val="auto"/>
          <w:sz w:val="24"/>
          <w:u w:val="single"/>
        </w:rPr>
        <w:t xml:space="preserve">             </w:t>
      </w:r>
      <w:r>
        <w:rPr>
          <w:rFonts w:hint="eastAsia" w:ascii="宋体" w:hAnsi="宋体" w:cs="宋体"/>
          <w:color w:val="auto"/>
          <w:sz w:val="24"/>
        </w:rPr>
        <w:t>（投标人名称）已仔细研究了</w:t>
      </w:r>
      <w:r>
        <w:rPr>
          <w:rFonts w:hint="eastAsia" w:ascii="宋体" w:hAnsi="宋体" w:cs="宋体"/>
          <w:color w:val="auto"/>
          <w:sz w:val="24"/>
          <w:u w:val="single"/>
        </w:rPr>
        <w:t xml:space="preserve">             </w:t>
      </w:r>
      <w:r>
        <w:rPr>
          <w:rFonts w:hint="eastAsia" w:ascii="宋体" w:hAnsi="宋体" w:cs="宋体"/>
          <w:color w:val="auto"/>
          <w:sz w:val="24"/>
        </w:rPr>
        <w:t>（项目名称）招标文件的全部内容，愿意以人民币（大写）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）的投标总报价，工期</w:t>
      </w:r>
      <w:r>
        <w:rPr>
          <w:rFonts w:hint="eastAsia" w:ascii="宋体" w:hAnsi="宋体" w:cs="宋体"/>
          <w:color w:val="auto"/>
          <w:sz w:val="24"/>
          <w:u w:val="single"/>
        </w:rPr>
        <w:t xml:space="preserve">          </w:t>
      </w:r>
      <w:r>
        <w:rPr>
          <w:rFonts w:hint="eastAsia" w:ascii="宋体" w:hAnsi="宋体" w:cs="宋体"/>
          <w:color w:val="auto"/>
          <w:sz w:val="24"/>
        </w:rPr>
        <w:t xml:space="preserve"> 日历天，按合同约定实施和完成承包工程，修补工程中的任何缺陷，工程质量达到</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2．我方承诺在招标文件规定的投标有效期内不修改、撤销投标文件。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3．随同本投标函提交投标保证金一份，金额为人民币（大写）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4．如我方中标：</w:t>
      </w:r>
    </w:p>
    <w:p>
      <w:pPr>
        <w:spacing w:line="360" w:lineRule="auto"/>
        <w:ind w:firstLine="820" w:firstLineChars="342"/>
        <w:rPr>
          <w:rFonts w:ascii="宋体" w:hAnsi="宋体" w:cs="宋体"/>
          <w:color w:val="auto"/>
          <w:sz w:val="24"/>
        </w:rPr>
      </w:pPr>
      <w:r>
        <w:rPr>
          <w:rFonts w:hint="eastAsia" w:ascii="宋体" w:hAnsi="宋体" w:cs="宋体"/>
          <w:color w:val="auto"/>
          <w:sz w:val="24"/>
        </w:rPr>
        <w:t>（1）我方承诺在收到中标通知书后，在中标通知书规定的期限内与你方签订合同。</w:t>
      </w:r>
    </w:p>
    <w:p>
      <w:pPr>
        <w:spacing w:line="360" w:lineRule="auto"/>
        <w:ind w:firstLine="820" w:firstLineChars="342"/>
        <w:rPr>
          <w:rFonts w:ascii="宋体" w:hAnsi="宋体" w:cs="宋体"/>
          <w:color w:val="auto"/>
          <w:sz w:val="24"/>
        </w:rPr>
      </w:pPr>
      <w:r>
        <w:rPr>
          <w:rFonts w:hint="eastAsia" w:ascii="宋体" w:hAnsi="宋体" w:cs="宋体"/>
          <w:color w:val="auto"/>
          <w:sz w:val="24"/>
        </w:rPr>
        <w:t>（2）随同本投标函递交的投标函附录属于合同文件的组成部分。</w:t>
      </w:r>
    </w:p>
    <w:p>
      <w:pPr>
        <w:spacing w:line="360" w:lineRule="auto"/>
        <w:ind w:firstLine="820" w:firstLineChars="342"/>
        <w:rPr>
          <w:rFonts w:ascii="宋体" w:hAnsi="宋体" w:cs="宋体"/>
          <w:color w:val="auto"/>
          <w:sz w:val="24"/>
        </w:rPr>
      </w:pPr>
      <w:r>
        <w:rPr>
          <w:rFonts w:hint="eastAsia" w:ascii="宋体" w:hAnsi="宋体" w:cs="宋体"/>
          <w:color w:val="auto"/>
          <w:sz w:val="24"/>
        </w:rPr>
        <w:t>（3）我方承诺按照招标文件规定向你方递交履约担保。</w:t>
      </w:r>
    </w:p>
    <w:p>
      <w:pPr>
        <w:spacing w:line="360" w:lineRule="auto"/>
        <w:ind w:firstLine="820" w:firstLineChars="342"/>
        <w:rPr>
          <w:rFonts w:ascii="宋体" w:hAnsi="宋体" w:cs="宋体"/>
          <w:color w:val="auto"/>
          <w:sz w:val="24"/>
        </w:rPr>
      </w:pPr>
      <w:r>
        <w:rPr>
          <w:rFonts w:hint="eastAsia" w:ascii="宋体" w:hAnsi="宋体" w:cs="宋体"/>
          <w:color w:val="auto"/>
          <w:sz w:val="24"/>
        </w:rPr>
        <w:t>（4）我方承诺在合同约定的期限内完成并移交全部合同工程。</w:t>
      </w:r>
    </w:p>
    <w:p>
      <w:pPr>
        <w:spacing w:line="360" w:lineRule="auto"/>
        <w:ind w:firstLine="480" w:firstLineChars="200"/>
        <w:rPr>
          <w:rFonts w:ascii="宋体" w:hAnsi="宋体" w:cs="宋体"/>
          <w:color w:val="auto"/>
          <w:sz w:val="24"/>
        </w:rPr>
      </w:pPr>
      <w:r>
        <w:rPr>
          <w:rFonts w:hint="eastAsia" w:ascii="宋体" w:hAnsi="宋体" w:cs="宋体"/>
          <w:color w:val="auto"/>
          <w:sz w:val="24"/>
        </w:rPr>
        <w:t>5．我方在此声明，所递交的书面投标文件与电子投标文件一致，投标文件及有关资料内容完整、真实和准确，且不存在第二章“投标须知”第1.4.3项和第1.4.4项规定的任何一种情形。</w:t>
      </w:r>
    </w:p>
    <w:p>
      <w:pPr>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u w:val="single"/>
        </w:rPr>
        <w:t xml:space="preserve">                                       </w:t>
      </w:r>
      <w:r>
        <w:rPr>
          <w:rFonts w:hint="eastAsia" w:ascii="宋体" w:hAnsi="宋体" w:cs="宋体"/>
          <w:color w:val="auto"/>
          <w:sz w:val="24"/>
        </w:rPr>
        <w:t>（其他补充说明）。</w:t>
      </w:r>
    </w:p>
    <w:p>
      <w:pPr>
        <w:spacing w:line="360" w:lineRule="auto"/>
        <w:rPr>
          <w:rFonts w:ascii="宋体" w:hAnsi="宋体"/>
          <w:color w:val="auto"/>
        </w:rPr>
      </w:pPr>
    </w:p>
    <w:p>
      <w:pPr>
        <w:spacing w:line="360" w:lineRule="auto"/>
        <w:ind w:firstLine="3675" w:firstLineChars="1750"/>
        <w:rPr>
          <w:rFonts w:ascii="宋体" w:hAnsi="宋体"/>
          <w:color w:val="auto"/>
        </w:rPr>
      </w:pPr>
      <w:r>
        <w:rPr>
          <w:rFonts w:hint="eastAsia" w:ascii="宋体" w:hAnsi="宋体"/>
          <w:color w:val="auto"/>
        </w:rPr>
        <w:t>地址：</w:t>
      </w:r>
      <w:r>
        <w:rPr>
          <w:rFonts w:ascii="宋体" w:hAnsi="宋体"/>
          <w:color w:val="auto"/>
          <w:u w:val="single"/>
        </w:rPr>
        <w:t xml:space="preserve">                                     </w:t>
      </w:r>
    </w:p>
    <w:p>
      <w:pPr>
        <w:spacing w:line="360" w:lineRule="auto"/>
        <w:ind w:firstLine="3675" w:firstLineChars="1750"/>
        <w:rPr>
          <w:rFonts w:ascii="宋体" w:hAnsi="宋体"/>
          <w:color w:val="auto"/>
        </w:rPr>
      </w:pPr>
      <w:r>
        <w:rPr>
          <w:rFonts w:hint="eastAsia" w:ascii="宋体" w:hAnsi="宋体"/>
          <w:color w:val="auto"/>
        </w:rPr>
        <w:t>网址：</w:t>
      </w:r>
      <w:r>
        <w:rPr>
          <w:rFonts w:ascii="宋体" w:hAnsi="宋体"/>
          <w:color w:val="auto"/>
          <w:u w:val="single"/>
        </w:rPr>
        <w:t xml:space="preserve">                                     </w:t>
      </w:r>
    </w:p>
    <w:p>
      <w:pPr>
        <w:spacing w:line="360" w:lineRule="auto"/>
        <w:ind w:firstLine="3675" w:firstLineChars="1750"/>
        <w:rPr>
          <w:rFonts w:ascii="宋体" w:hAnsi="宋体"/>
          <w:color w:val="auto"/>
        </w:rPr>
      </w:pPr>
      <w:r>
        <w:rPr>
          <w:rFonts w:hint="eastAsia" w:ascii="宋体" w:hAnsi="宋体"/>
          <w:color w:val="auto"/>
        </w:rPr>
        <w:t>电话：</w:t>
      </w:r>
      <w:r>
        <w:rPr>
          <w:rFonts w:ascii="宋体" w:hAnsi="宋体"/>
          <w:color w:val="auto"/>
          <w:u w:val="single"/>
        </w:rPr>
        <w:t xml:space="preserve">                                     </w:t>
      </w:r>
    </w:p>
    <w:p>
      <w:pPr>
        <w:spacing w:line="360" w:lineRule="auto"/>
        <w:ind w:firstLine="3675" w:firstLineChars="1750"/>
        <w:rPr>
          <w:rFonts w:ascii="宋体" w:hAnsi="宋体"/>
          <w:color w:val="auto"/>
        </w:rPr>
      </w:pPr>
      <w:r>
        <w:rPr>
          <w:rFonts w:hint="eastAsia" w:ascii="宋体" w:hAnsi="宋体"/>
          <w:color w:val="auto"/>
        </w:rPr>
        <w:t>传真：</w:t>
      </w:r>
      <w:r>
        <w:rPr>
          <w:rFonts w:ascii="宋体" w:hAnsi="宋体"/>
          <w:color w:val="auto"/>
          <w:u w:val="single"/>
        </w:rPr>
        <w:t xml:space="preserve">                                     </w:t>
      </w:r>
    </w:p>
    <w:p>
      <w:pPr>
        <w:spacing w:line="360" w:lineRule="auto"/>
        <w:ind w:firstLine="3675" w:firstLineChars="1750"/>
        <w:rPr>
          <w:rFonts w:ascii="宋体" w:hAnsi="宋体"/>
          <w:color w:val="auto"/>
        </w:rPr>
      </w:pPr>
      <w:r>
        <w:rPr>
          <w:rFonts w:hint="eastAsia" w:ascii="宋体" w:hAnsi="宋体"/>
          <w:color w:val="auto"/>
        </w:rPr>
        <w:t>邮政编码：</w:t>
      </w:r>
      <w:r>
        <w:rPr>
          <w:rFonts w:ascii="宋体" w:hAnsi="宋体"/>
          <w:color w:val="auto"/>
          <w:u w:val="single"/>
        </w:rPr>
        <w:t xml:space="preserve">                                 </w:t>
      </w:r>
    </w:p>
    <w:p>
      <w:pPr>
        <w:spacing w:line="360" w:lineRule="auto"/>
        <w:ind w:firstLine="5040" w:firstLineChars="2400"/>
        <w:rPr>
          <w:rFonts w:ascii="宋体" w:hAnsi="宋体"/>
          <w:color w:val="auto"/>
        </w:rPr>
      </w:pP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spacing w:line="360" w:lineRule="auto"/>
        <w:rPr>
          <w:rFonts w:ascii="宋体" w:hAnsi="宋体"/>
          <w:color w:val="auto"/>
        </w:rPr>
      </w:pPr>
    </w:p>
    <w:p>
      <w:pPr>
        <w:pStyle w:val="5"/>
        <w:ind w:firstLine="402"/>
        <w:jc w:val="center"/>
        <w:rPr>
          <w:b w:val="0"/>
          <w:color w:val="auto"/>
        </w:rPr>
      </w:pPr>
      <w:r>
        <w:rPr>
          <w:color w:val="auto"/>
          <w:sz w:val="20"/>
        </w:rPr>
        <w:br w:type="page"/>
      </w:r>
      <w:bookmarkStart w:id="1899" w:name="_Toc2727"/>
      <w:bookmarkStart w:id="1900" w:name="_Toc152042579"/>
      <w:bookmarkStart w:id="1901" w:name="_Toc32184"/>
      <w:bookmarkStart w:id="1902" w:name="_Toc246996358"/>
      <w:bookmarkStart w:id="1903" w:name="_Toc247085876"/>
      <w:bookmarkStart w:id="1904" w:name="_Toc12157"/>
      <w:bookmarkStart w:id="1905" w:name="_Toc152045790"/>
      <w:bookmarkStart w:id="1906" w:name="_Toc124613048"/>
      <w:bookmarkStart w:id="1907" w:name="_Toc8682"/>
      <w:bookmarkStart w:id="1908" w:name="_Toc607"/>
      <w:bookmarkStart w:id="1909" w:name="_Toc31058"/>
      <w:bookmarkStart w:id="1910" w:name="_Toc4078439"/>
      <w:bookmarkStart w:id="1911" w:name="_Toc22589"/>
      <w:bookmarkStart w:id="1912" w:name="_Toc179632810"/>
      <w:bookmarkStart w:id="1913" w:name="_Toc8677"/>
      <w:bookmarkStart w:id="1914" w:name="_Toc144974859"/>
      <w:bookmarkStart w:id="1915" w:name="_Toc246997101"/>
      <w:r>
        <w:rPr>
          <w:rFonts w:hint="eastAsia"/>
          <w:color w:val="auto"/>
          <w:sz w:val="28"/>
        </w:rPr>
        <w:t>（二）投标函附录</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pPr>
        <w:spacing w:line="440" w:lineRule="exact"/>
        <w:rPr>
          <w:rFonts w:ascii="宋体" w:hAnsi="宋体"/>
          <w:color w:val="auto"/>
          <w:sz w:val="20"/>
        </w:rPr>
      </w:pPr>
    </w:p>
    <w:tbl>
      <w:tblPr>
        <w:tblStyle w:val="46"/>
        <w:tblW w:w="909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78"/>
        <w:gridCol w:w="2307"/>
        <w:gridCol w:w="2884"/>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3" w:type="dxa"/>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2378" w:type="dxa"/>
            <w:vAlign w:val="center"/>
          </w:tcPr>
          <w:p>
            <w:pPr>
              <w:jc w:val="center"/>
              <w:rPr>
                <w:rFonts w:ascii="宋体" w:hAnsi="宋体" w:cs="宋体"/>
                <w:b/>
                <w:bCs/>
                <w:color w:val="auto"/>
                <w:szCs w:val="21"/>
              </w:rPr>
            </w:pPr>
            <w:r>
              <w:rPr>
                <w:rFonts w:hint="eastAsia" w:ascii="宋体" w:hAnsi="宋体" w:cs="宋体"/>
                <w:b/>
                <w:bCs/>
                <w:color w:val="auto"/>
                <w:szCs w:val="21"/>
              </w:rPr>
              <w:t>条款名称</w:t>
            </w:r>
          </w:p>
        </w:tc>
        <w:tc>
          <w:tcPr>
            <w:tcW w:w="2307" w:type="dxa"/>
            <w:vAlign w:val="center"/>
          </w:tcPr>
          <w:p>
            <w:pPr>
              <w:jc w:val="center"/>
              <w:rPr>
                <w:rFonts w:ascii="宋体" w:hAnsi="宋体" w:cs="宋体"/>
                <w:b/>
                <w:bCs/>
                <w:color w:val="auto"/>
                <w:szCs w:val="21"/>
              </w:rPr>
            </w:pPr>
            <w:r>
              <w:rPr>
                <w:rFonts w:hint="eastAsia" w:ascii="宋体" w:hAnsi="宋体" w:cs="宋体"/>
                <w:b/>
                <w:bCs/>
                <w:color w:val="auto"/>
                <w:szCs w:val="21"/>
              </w:rPr>
              <w:t>合同条款号</w:t>
            </w:r>
          </w:p>
        </w:tc>
        <w:tc>
          <w:tcPr>
            <w:tcW w:w="2884" w:type="dxa"/>
            <w:vAlign w:val="center"/>
          </w:tcPr>
          <w:p>
            <w:pPr>
              <w:jc w:val="center"/>
              <w:rPr>
                <w:rFonts w:ascii="宋体" w:hAnsi="宋体" w:cs="宋体"/>
                <w:b/>
                <w:bCs/>
                <w:color w:val="auto"/>
                <w:szCs w:val="21"/>
              </w:rPr>
            </w:pPr>
            <w:r>
              <w:rPr>
                <w:rFonts w:hint="eastAsia" w:ascii="宋体" w:hAnsi="宋体" w:cs="宋体"/>
                <w:b/>
                <w:bCs/>
                <w:color w:val="auto"/>
                <w:szCs w:val="21"/>
              </w:rPr>
              <w:t>约定内容</w:t>
            </w:r>
          </w:p>
        </w:tc>
        <w:tc>
          <w:tcPr>
            <w:tcW w:w="838" w:type="dxa"/>
            <w:vAlign w:val="center"/>
          </w:tcPr>
          <w:p>
            <w:pPr>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1</w:t>
            </w:r>
          </w:p>
        </w:tc>
        <w:tc>
          <w:tcPr>
            <w:tcW w:w="2378" w:type="dxa"/>
            <w:vAlign w:val="center"/>
          </w:tcPr>
          <w:p>
            <w:pPr>
              <w:rPr>
                <w:rFonts w:ascii="宋体" w:hAnsi="宋体" w:cs="宋体"/>
                <w:color w:val="auto"/>
                <w:szCs w:val="21"/>
              </w:rPr>
            </w:pPr>
            <w:r>
              <w:rPr>
                <w:rFonts w:hint="eastAsia" w:ascii="宋体" w:hAnsi="宋体" w:cs="宋体"/>
                <w:color w:val="auto"/>
                <w:szCs w:val="21"/>
              </w:rPr>
              <w:t>项目负责人</w:t>
            </w:r>
          </w:p>
        </w:tc>
        <w:tc>
          <w:tcPr>
            <w:tcW w:w="2307" w:type="dxa"/>
            <w:vAlign w:val="center"/>
          </w:tcPr>
          <w:p>
            <w:pPr>
              <w:rPr>
                <w:rFonts w:ascii="宋体" w:hAnsi="宋体" w:cs="宋体"/>
                <w:color w:val="auto"/>
                <w:szCs w:val="21"/>
              </w:rPr>
            </w:pPr>
            <w:r>
              <w:rPr>
                <w:rFonts w:hint="eastAsia" w:ascii="宋体" w:hAnsi="宋体" w:cs="宋体"/>
                <w:color w:val="auto"/>
                <w:szCs w:val="21"/>
              </w:rPr>
              <w:t>3.2.1</w:t>
            </w:r>
          </w:p>
        </w:tc>
        <w:tc>
          <w:tcPr>
            <w:tcW w:w="2884" w:type="dxa"/>
            <w:vAlign w:val="center"/>
          </w:tcPr>
          <w:p>
            <w:pPr>
              <w:rPr>
                <w:rFonts w:ascii="宋体" w:hAnsi="宋体" w:cs="宋体"/>
                <w:color w:val="auto"/>
                <w:szCs w:val="21"/>
              </w:rPr>
            </w:pPr>
            <w:r>
              <w:rPr>
                <w:rFonts w:hint="eastAsia" w:ascii="宋体" w:hAnsi="宋体" w:cs="宋体"/>
                <w:color w:val="auto"/>
                <w:szCs w:val="21"/>
              </w:rPr>
              <w:t xml:space="preserve">姓名：           </w:t>
            </w: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2</w:t>
            </w:r>
          </w:p>
        </w:tc>
        <w:tc>
          <w:tcPr>
            <w:tcW w:w="2378" w:type="dxa"/>
            <w:vAlign w:val="center"/>
          </w:tcPr>
          <w:p>
            <w:pPr>
              <w:rPr>
                <w:rFonts w:ascii="宋体" w:hAnsi="宋体" w:cs="宋体"/>
                <w:color w:val="auto"/>
                <w:szCs w:val="21"/>
              </w:rPr>
            </w:pPr>
            <w:r>
              <w:rPr>
                <w:rFonts w:hint="eastAsia" w:ascii="宋体" w:hAnsi="宋体" w:cs="宋体"/>
                <w:color w:val="auto"/>
                <w:szCs w:val="21"/>
              </w:rPr>
              <w:t>工期</w:t>
            </w:r>
          </w:p>
        </w:tc>
        <w:tc>
          <w:tcPr>
            <w:tcW w:w="2307" w:type="dxa"/>
            <w:vAlign w:val="center"/>
          </w:tcPr>
          <w:p>
            <w:pPr>
              <w:rPr>
                <w:rFonts w:ascii="宋体" w:hAnsi="宋体" w:cs="宋体"/>
                <w:color w:val="auto"/>
                <w:szCs w:val="21"/>
              </w:rPr>
            </w:pPr>
            <w:r>
              <w:rPr>
                <w:rFonts w:hint="eastAsia" w:ascii="宋体" w:hAnsi="宋体" w:cs="宋体"/>
                <w:color w:val="auto"/>
                <w:szCs w:val="21"/>
              </w:rPr>
              <w:t>7.2</w:t>
            </w:r>
          </w:p>
        </w:tc>
        <w:tc>
          <w:tcPr>
            <w:tcW w:w="2884" w:type="dxa"/>
            <w:vAlign w:val="center"/>
          </w:tcPr>
          <w:p>
            <w:pPr>
              <w:rPr>
                <w:rFonts w:ascii="宋体" w:hAnsi="宋体" w:cs="宋体"/>
                <w:color w:val="auto"/>
                <w:szCs w:val="21"/>
              </w:rPr>
            </w:pPr>
            <w:r>
              <w:rPr>
                <w:rFonts w:hint="eastAsia" w:ascii="宋体" w:hAnsi="宋体" w:cs="宋体"/>
                <w:color w:val="auto"/>
                <w:szCs w:val="21"/>
              </w:rPr>
              <w:t>天数：        日历天</w:t>
            </w: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2378" w:type="dxa"/>
            <w:vAlign w:val="center"/>
          </w:tcPr>
          <w:p>
            <w:pPr>
              <w:rPr>
                <w:rFonts w:ascii="宋体" w:hAnsi="宋体" w:cs="宋体"/>
                <w:color w:val="auto"/>
                <w:szCs w:val="21"/>
              </w:rPr>
            </w:pPr>
            <w:r>
              <w:rPr>
                <w:rFonts w:hint="eastAsia" w:ascii="宋体" w:hAnsi="宋体" w:cs="宋体"/>
                <w:color w:val="auto"/>
                <w:szCs w:val="21"/>
              </w:rPr>
              <w:t>缺陷责任期</w:t>
            </w:r>
          </w:p>
        </w:tc>
        <w:tc>
          <w:tcPr>
            <w:tcW w:w="2307" w:type="dxa"/>
            <w:vAlign w:val="center"/>
          </w:tcPr>
          <w:p>
            <w:pPr>
              <w:rPr>
                <w:rFonts w:ascii="宋体" w:hAnsi="宋体" w:cs="宋体"/>
                <w:color w:val="auto"/>
                <w:szCs w:val="21"/>
              </w:rPr>
            </w:pPr>
            <w:r>
              <w:rPr>
                <w:rFonts w:hint="eastAsia" w:ascii="宋体" w:hAnsi="宋体" w:cs="宋体"/>
                <w:color w:val="auto"/>
                <w:szCs w:val="21"/>
              </w:rPr>
              <w:t>15.2</w:t>
            </w:r>
          </w:p>
        </w:tc>
        <w:tc>
          <w:tcPr>
            <w:tcW w:w="2884" w:type="dxa"/>
            <w:vAlign w:val="center"/>
          </w:tcPr>
          <w:p>
            <w:pPr>
              <w:rPr>
                <w:rFonts w:ascii="宋体" w:hAnsi="宋体" w:cs="宋体"/>
                <w:color w:val="auto"/>
                <w:szCs w:val="21"/>
              </w:rPr>
            </w:pP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4</w:t>
            </w:r>
          </w:p>
        </w:tc>
        <w:tc>
          <w:tcPr>
            <w:tcW w:w="2378" w:type="dxa"/>
            <w:vAlign w:val="center"/>
          </w:tcPr>
          <w:p>
            <w:pPr>
              <w:rPr>
                <w:rFonts w:ascii="宋体" w:hAnsi="宋体" w:cs="宋体"/>
                <w:color w:val="auto"/>
                <w:szCs w:val="21"/>
              </w:rPr>
            </w:pPr>
            <w:r>
              <w:rPr>
                <w:rFonts w:hint="eastAsia" w:ascii="宋体" w:hAnsi="宋体" w:cs="宋体"/>
                <w:color w:val="auto"/>
                <w:szCs w:val="21"/>
              </w:rPr>
              <w:t>权利义务</w:t>
            </w:r>
          </w:p>
        </w:tc>
        <w:tc>
          <w:tcPr>
            <w:tcW w:w="2307" w:type="dxa"/>
            <w:vAlign w:val="center"/>
          </w:tcPr>
          <w:p>
            <w:pPr>
              <w:rPr>
                <w:rFonts w:ascii="宋体" w:hAnsi="宋体" w:cs="宋体"/>
                <w:color w:val="auto"/>
                <w:szCs w:val="21"/>
              </w:rPr>
            </w:pPr>
            <w:r>
              <w:rPr>
                <w:rFonts w:hint="eastAsia" w:ascii="宋体" w:hAnsi="宋体" w:cs="宋体"/>
                <w:color w:val="auto"/>
                <w:szCs w:val="21"/>
              </w:rPr>
              <w:t>招标文件第五章</w:t>
            </w:r>
          </w:p>
        </w:tc>
        <w:tc>
          <w:tcPr>
            <w:tcW w:w="2884" w:type="dxa"/>
            <w:vAlign w:val="center"/>
          </w:tcPr>
          <w:p>
            <w:pPr>
              <w:rPr>
                <w:rFonts w:ascii="宋体" w:hAnsi="宋体" w:cs="宋体"/>
                <w:color w:val="auto"/>
                <w:szCs w:val="21"/>
              </w:rPr>
            </w:pPr>
            <w:r>
              <w:rPr>
                <w:rFonts w:hint="eastAsia" w:ascii="宋体" w:hAnsi="宋体" w:cs="宋体"/>
                <w:color w:val="auto"/>
                <w:szCs w:val="21"/>
              </w:rPr>
              <w:t>执行第五章“合同格式及主要条款”规定</w:t>
            </w: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378" w:type="dxa"/>
            <w:vAlign w:val="center"/>
          </w:tcPr>
          <w:p>
            <w:pPr>
              <w:rPr>
                <w:rFonts w:ascii="宋体" w:hAnsi="宋体" w:cs="宋体"/>
                <w:color w:val="auto"/>
                <w:szCs w:val="21"/>
              </w:rPr>
            </w:pPr>
            <w:r>
              <w:rPr>
                <w:rFonts w:hint="eastAsia" w:ascii="宋体" w:hAnsi="宋体" w:cs="宋体"/>
                <w:color w:val="auto"/>
                <w:szCs w:val="21"/>
              </w:rPr>
              <w:t>技术标准和要求</w:t>
            </w:r>
          </w:p>
        </w:tc>
        <w:tc>
          <w:tcPr>
            <w:tcW w:w="2307" w:type="dxa"/>
            <w:vAlign w:val="center"/>
          </w:tcPr>
          <w:p>
            <w:pPr>
              <w:rPr>
                <w:rFonts w:ascii="宋体" w:hAnsi="宋体" w:cs="宋体"/>
                <w:color w:val="auto"/>
                <w:szCs w:val="21"/>
              </w:rPr>
            </w:pPr>
            <w:r>
              <w:rPr>
                <w:rFonts w:hint="eastAsia" w:ascii="宋体" w:hAnsi="宋体" w:cs="宋体"/>
                <w:color w:val="auto"/>
                <w:szCs w:val="21"/>
              </w:rPr>
              <w:t>招标文件第八章</w:t>
            </w:r>
          </w:p>
        </w:tc>
        <w:tc>
          <w:tcPr>
            <w:tcW w:w="2884" w:type="dxa"/>
            <w:vAlign w:val="center"/>
          </w:tcPr>
          <w:p>
            <w:pPr>
              <w:rPr>
                <w:rFonts w:ascii="宋体" w:hAnsi="宋体" w:cs="宋体"/>
                <w:color w:val="auto"/>
                <w:szCs w:val="21"/>
              </w:rPr>
            </w:pPr>
            <w:r>
              <w:rPr>
                <w:rFonts w:hint="eastAsia" w:ascii="宋体" w:hAnsi="宋体" w:cs="宋体"/>
                <w:color w:val="auto"/>
                <w:szCs w:val="21"/>
              </w:rPr>
              <w:t>执行第八章“技术标准和要求”规定</w:t>
            </w: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w:t>
            </w:r>
          </w:p>
        </w:tc>
        <w:tc>
          <w:tcPr>
            <w:tcW w:w="2378" w:type="dxa"/>
            <w:vAlign w:val="center"/>
          </w:tcPr>
          <w:p>
            <w:pPr>
              <w:rPr>
                <w:rFonts w:ascii="宋体" w:hAnsi="宋体" w:cs="宋体"/>
                <w:color w:val="auto"/>
                <w:szCs w:val="21"/>
              </w:rPr>
            </w:pPr>
            <w:r>
              <w:rPr>
                <w:rFonts w:hint="eastAsia" w:ascii="宋体" w:hAnsi="宋体" w:cs="宋体"/>
                <w:color w:val="auto"/>
                <w:szCs w:val="21"/>
              </w:rPr>
              <w:t>……</w:t>
            </w:r>
          </w:p>
        </w:tc>
        <w:tc>
          <w:tcPr>
            <w:tcW w:w="2307" w:type="dxa"/>
            <w:vAlign w:val="center"/>
          </w:tcPr>
          <w:p>
            <w:pPr>
              <w:rPr>
                <w:rFonts w:ascii="宋体" w:hAnsi="宋体" w:cs="宋体"/>
                <w:color w:val="auto"/>
                <w:szCs w:val="21"/>
              </w:rPr>
            </w:pPr>
            <w:r>
              <w:rPr>
                <w:rFonts w:hint="eastAsia" w:ascii="宋体" w:hAnsi="宋体" w:cs="宋体"/>
                <w:color w:val="auto"/>
                <w:szCs w:val="21"/>
              </w:rPr>
              <w:t>……</w:t>
            </w:r>
          </w:p>
        </w:tc>
        <w:tc>
          <w:tcPr>
            <w:tcW w:w="2884" w:type="dxa"/>
            <w:vAlign w:val="center"/>
          </w:tcPr>
          <w:p>
            <w:pPr>
              <w:rPr>
                <w:rFonts w:ascii="宋体" w:hAnsi="宋体" w:cs="宋体"/>
                <w:color w:val="auto"/>
                <w:szCs w:val="21"/>
              </w:rPr>
            </w:pPr>
            <w:r>
              <w:rPr>
                <w:rFonts w:hint="eastAsia" w:ascii="宋体" w:hAnsi="宋体" w:cs="宋体"/>
                <w:color w:val="auto"/>
                <w:szCs w:val="21"/>
              </w:rPr>
              <w:t>……</w:t>
            </w: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w:t>
            </w:r>
          </w:p>
        </w:tc>
        <w:tc>
          <w:tcPr>
            <w:tcW w:w="2378" w:type="dxa"/>
            <w:vAlign w:val="center"/>
          </w:tcPr>
          <w:p>
            <w:pPr>
              <w:rPr>
                <w:rFonts w:ascii="宋体" w:hAnsi="宋体" w:cs="宋体"/>
                <w:color w:val="auto"/>
                <w:szCs w:val="21"/>
              </w:rPr>
            </w:pPr>
            <w:r>
              <w:rPr>
                <w:rFonts w:hint="eastAsia" w:ascii="宋体" w:hAnsi="宋体" w:cs="宋体"/>
                <w:color w:val="auto"/>
                <w:szCs w:val="21"/>
              </w:rPr>
              <w:t>……</w:t>
            </w:r>
          </w:p>
        </w:tc>
        <w:tc>
          <w:tcPr>
            <w:tcW w:w="2307" w:type="dxa"/>
            <w:vAlign w:val="center"/>
          </w:tcPr>
          <w:p>
            <w:pPr>
              <w:rPr>
                <w:rFonts w:ascii="宋体" w:hAnsi="宋体" w:cs="宋体"/>
                <w:color w:val="auto"/>
                <w:szCs w:val="21"/>
              </w:rPr>
            </w:pPr>
            <w:r>
              <w:rPr>
                <w:rFonts w:hint="eastAsia" w:ascii="宋体" w:hAnsi="宋体" w:cs="宋体"/>
                <w:color w:val="auto"/>
                <w:szCs w:val="21"/>
              </w:rPr>
              <w:t>……</w:t>
            </w:r>
          </w:p>
        </w:tc>
        <w:tc>
          <w:tcPr>
            <w:tcW w:w="2884" w:type="dxa"/>
            <w:vAlign w:val="center"/>
          </w:tcPr>
          <w:p>
            <w:pPr>
              <w:rPr>
                <w:rFonts w:ascii="宋体" w:hAnsi="宋体" w:cs="宋体"/>
                <w:color w:val="auto"/>
                <w:szCs w:val="21"/>
              </w:rPr>
            </w:pPr>
            <w:r>
              <w:rPr>
                <w:rFonts w:hint="eastAsia" w:ascii="宋体" w:hAnsi="宋体" w:cs="宋体"/>
                <w:color w:val="auto"/>
                <w:szCs w:val="21"/>
              </w:rPr>
              <w:t>……</w:t>
            </w:r>
          </w:p>
        </w:tc>
        <w:tc>
          <w:tcPr>
            <w:tcW w:w="838"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3" w:type="dxa"/>
            <w:vAlign w:val="center"/>
          </w:tcPr>
          <w:p>
            <w:pPr>
              <w:jc w:val="center"/>
              <w:rPr>
                <w:rFonts w:ascii="宋体" w:hAnsi="宋体" w:cs="宋体"/>
                <w:color w:val="auto"/>
                <w:szCs w:val="21"/>
              </w:rPr>
            </w:pPr>
            <w:r>
              <w:rPr>
                <w:rFonts w:hint="eastAsia" w:ascii="宋体" w:hAnsi="宋体" w:cs="宋体"/>
                <w:color w:val="auto"/>
                <w:szCs w:val="21"/>
              </w:rPr>
              <w:t>……</w:t>
            </w:r>
          </w:p>
        </w:tc>
        <w:tc>
          <w:tcPr>
            <w:tcW w:w="2378" w:type="dxa"/>
            <w:vAlign w:val="center"/>
          </w:tcPr>
          <w:p>
            <w:pPr>
              <w:rPr>
                <w:rFonts w:ascii="宋体" w:hAnsi="宋体" w:cs="宋体"/>
                <w:color w:val="auto"/>
                <w:szCs w:val="21"/>
              </w:rPr>
            </w:pPr>
            <w:r>
              <w:rPr>
                <w:rFonts w:hint="eastAsia" w:ascii="宋体" w:hAnsi="宋体" w:cs="宋体"/>
                <w:color w:val="auto"/>
                <w:szCs w:val="21"/>
              </w:rPr>
              <w:t>……</w:t>
            </w:r>
          </w:p>
        </w:tc>
        <w:tc>
          <w:tcPr>
            <w:tcW w:w="2307" w:type="dxa"/>
            <w:vAlign w:val="center"/>
          </w:tcPr>
          <w:p>
            <w:pPr>
              <w:rPr>
                <w:rFonts w:ascii="宋体" w:hAnsi="宋体" w:cs="宋体"/>
                <w:color w:val="auto"/>
                <w:szCs w:val="21"/>
              </w:rPr>
            </w:pPr>
            <w:r>
              <w:rPr>
                <w:rFonts w:hint="eastAsia" w:ascii="宋体" w:hAnsi="宋体" w:cs="宋体"/>
                <w:color w:val="auto"/>
                <w:szCs w:val="21"/>
              </w:rPr>
              <w:t>……</w:t>
            </w:r>
          </w:p>
        </w:tc>
        <w:tc>
          <w:tcPr>
            <w:tcW w:w="2884" w:type="dxa"/>
            <w:vAlign w:val="center"/>
          </w:tcPr>
          <w:p>
            <w:pPr>
              <w:rPr>
                <w:rFonts w:ascii="宋体" w:hAnsi="宋体" w:cs="宋体"/>
                <w:color w:val="auto"/>
                <w:szCs w:val="21"/>
              </w:rPr>
            </w:pPr>
            <w:r>
              <w:rPr>
                <w:rFonts w:hint="eastAsia" w:ascii="宋体" w:hAnsi="宋体" w:cs="宋体"/>
                <w:color w:val="auto"/>
                <w:szCs w:val="21"/>
              </w:rPr>
              <w:t>……</w:t>
            </w:r>
          </w:p>
        </w:tc>
        <w:tc>
          <w:tcPr>
            <w:tcW w:w="838" w:type="dxa"/>
            <w:vAlign w:val="center"/>
          </w:tcPr>
          <w:p>
            <w:pPr>
              <w:rPr>
                <w:rFonts w:ascii="宋体" w:hAnsi="宋体" w:cs="宋体"/>
                <w:color w:val="auto"/>
                <w:szCs w:val="21"/>
              </w:rPr>
            </w:pPr>
          </w:p>
        </w:tc>
      </w:tr>
    </w:tbl>
    <w:p>
      <w:pPr>
        <w:spacing w:line="440" w:lineRule="exact"/>
        <w:ind w:left="840" w:leftChars="400" w:firstLine="2200" w:firstLineChars="1100"/>
        <w:rPr>
          <w:rFonts w:ascii="宋体" w:hAnsi="宋体"/>
          <w:color w:val="auto"/>
          <w:sz w:val="20"/>
        </w:rPr>
      </w:pPr>
    </w:p>
    <w:p>
      <w:pPr>
        <w:pStyle w:val="4"/>
        <w:ind w:firstLine="0" w:firstLineChars="0"/>
        <w:jc w:val="center"/>
        <w:rPr>
          <w:color w:val="auto"/>
        </w:rPr>
      </w:pPr>
      <w:r>
        <w:rPr>
          <w:color w:val="auto"/>
          <w:sz w:val="20"/>
        </w:rPr>
        <w:br w:type="page"/>
      </w:r>
      <w:bookmarkStart w:id="1916" w:name="_Toc27614"/>
      <w:bookmarkStart w:id="1917" w:name="_Toc124613049"/>
      <w:bookmarkStart w:id="1918" w:name="_Toc13155"/>
      <w:bookmarkStart w:id="1919" w:name="_Toc179632811"/>
      <w:bookmarkStart w:id="1920" w:name="_Toc144974860"/>
      <w:bookmarkStart w:id="1921" w:name="_Toc152045791"/>
      <w:bookmarkStart w:id="1922" w:name="_Toc4078440"/>
      <w:bookmarkStart w:id="1923" w:name="_Toc247085877"/>
      <w:bookmarkStart w:id="1924" w:name="_Toc3903"/>
      <w:bookmarkStart w:id="1925" w:name="_Toc18689"/>
      <w:bookmarkStart w:id="1926" w:name="_Toc152042580"/>
      <w:bookmarkStart w:id="1927" w:name="_Toc5473"/>
      <w:bookmarkStart w:id="1928" w:name="_Toc21184"/>
      <w:bookmarkStart w:id="1929" w:name="_Toc21495"/>
      <w:bookmarkStart w:id="1930" w:name="_Toc246996359"/>
      <w:bookmarkStart w:id="1931" w:name="_Toc246997102"/>
      <w:r>
        <w:rPr>
          <w:rFonts w:hint="eastAsia"/>
          <w:color w:val="auto"/>
        </w:rPr>
        <w:t>二、法定代表人身份证明或附有法定代表人身份证明的授权委托书</w:t>
      </w:r>
      <w:bookmarkEnd w:id="1916"/>
      <w:bookmarkEnd w:id="1917"/>
      <w:bookmarkEnd w:id="1918"/>
    </w:p>
    <w:p>
      <w:pPr>
        <w:jc w:val="center"/>
        <w:rPr>
          <w:rFonts w:ascii="宋体" w:hAnsi="宋体"/>
          <w:b/>
          <w:color w:val="auto"/>
          <w:sz w:val="24"/>
        </w:rPr>
      </w:pPr>
      <w:bookmarkStart w:id="1932" w:name="_Toc14521"/>
      <w:bookmarkStart w:id="1933" w:name="_Toc25129"/>
      <w:bookmarkStart w:id="1934" w:name="_Toc28752"/>
      <w:r>
        <w:rPr>
          <w:rFonts w:hint="eastAsia" w:ascii="宋体" w:hAnsi="宋体"/>
          <w:b/>
          <w:color w:val="auto"/>
          <w:sz w:val="24"/>
        </w:rPr>
        <w:t>（一）法定代表人身份证明</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w:t>单位</w:t>
      </w:r>
      <w:r>
        <w:rPr>
          <w:rFonts w:hint="eastAsia" w:ascii="宋体" w:hAnsi="宋体"/>
          <w:color w:val="auto"/>
          <w:sz w:val="24"/>
        </w:rPr>
        <w:t>名称：</w:t>
      </w:r>
      <w:r>
        <w:rPr>
          <w:rFonts w:ascii="宋体" w:hAnsi="宋体"/>
          <w:color w:val="auto"/>
          <w:sz w:val="24"/>
          <w:u w:val="single"/>
        </w:rPr>
        <w:t xml:space="preserve">                            </w:t>
      </w:r>
      <w:r>
        <w:rPr>
          <w:rFonts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ascii="宋体" w:hAnsi="宋体"/>
          <w:color w:val="auto"/>
          <w:sz w:val="24"/>
          <w:u w:val="single"/>
        </w:rPr>
        <w:t xml:space="preserve">                               </w:t>
      </w:r>
      <w:r>
        <w:rPr>
          <w:rFonts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地址：</w:t>
      </w:r>
      <w:r>
        <w:rPr>
          <w:rFonts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性别：</w:t>
      </w:r>
      <w:r>
        <w:rPr>
          <w:rFonts w:ascii="宋体" w:hAnsi="宋体"/>
          <w:color w:val="auto"/>
          <w:sz w:val="24"/>
          <w:u w:val="single"/>
        </w:rPr>
        <w:t xml:space="preserve">         </w:t>
      </w:r>
      <w:r>
        <w:rPr>
          <w:rFonts w:hint="eastAsia" w:ascii="宋体" w:hAnsi="宋体"/>
          <w:color w:val="auto"/>
          <w:sz w:val="24"/>
        </w:rPr>
        <w:t>年龄：</w:t>
      </w:r>
      <w:r>
        <w:rPr>
          <w:rFonts w:ascii="宋体" w:hAnsi="宋体"/>
          <w:color w:val="auto"/>
          <w:sz w:val="24"/>
          <w:u w:val="single"/>
        </w:rPr>
        <w:t xml:space="preserve">        </w:t>
      </w:r>
      <w:r>
        <w:rPr>
          <w:rFonts w:hint="eastAsia" w:ascii="宋体" w:hAnsi="宋体"/>
          <w:color w:val="auto"/>
          <w:sz w:val="24"/>
        </w:rPr>
        <w:t>职务：</w:t>
      </w:r>
      <w:r>
        <w:rPr>
          <w:rFonts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单位</w:t>
      </w:r>
      <w:r>
        <w:rPr>
          <w:rFonts w:hint="eastAsia" w:ascii="宋体" w:hAnsi="宋体"/>
          <w:color w:val="auto"/>
          <w:sz w:val="24"/>
        </w:rPr>
        <w:t>名称）的法定代表人。</w:t>
      </w:r>
    </w:p>
    <w:p>
      <w:pPr>
        <w:spacing w:line="360" w:lineRule="auto"/>
        <w:ind w:firstLine="480" w:firstLineChars="200"/>
        <w:rPr>
          <w:rFonts w:ascii="宋体" w:hAnsi="宋体"/>
          <w:color w:val="auto"/>
          <w:sz w:val="24"/>
        </w:rPr>
      </w:pPr>
      <w:r>
        <w:rPr>
          <w:rFonts w:hint="eastAsia" w:ascii="宋体" w:hAnsi="宋体"/>
          <w:color w:val="auto"/>
          <w:sz w:val="24"/>
        </w:rPr>
        <w:t>特此证明。</w:t>
      </w:r>
    </w:p>
    <w:p>
      <w:pPr>
        <w:spacing w:line="360" w:lineRule="auto"/>
        <w:ind w:firstLine="480" w:firstLineChars="200"/>
        <w:rPr>
          <w:rFonts w:ascii="宋体" w:hAnsi="宋体"/>
          <w:color w:val="auto"/>
          <w:sz w:val="24"/>
        </w:rPr>
      </w:pPr>
      <w:r>
        <w:rPr>
          <w:rFonts w:hint="eastAsia" w:ascii="宋体" w:hAnsi="宋体"/>
          <w:color w:val="auto"/>
          <w:sz w:val="24"/>
        </w:rPr>
        <w:t>附：法定代表人身份证。</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bookmarkStart w:id="1935" w:name="_Toc11846"/>
      <w:bookmarkStart w:id="1936" w:name="_Toc152042581"/>
      <w:bookmarkStart w:id="1937" w:name="_Toc246997103"/>
      <w:bookmarkStart w:id="1938" w:name="_Toc922"/>
      <w:bookmarkStart w:id="1939" w:name="_Toc3867"/>
      <w:bookmarkStart w:id="1940" w:name="_Toc246996360"/>
      <w:bookmarkStart w:id="1941" w:name="_Toc4078441"/>
      <w:bookmarkStart w:id="1942" w:name="_Toc179632812"/>
      <w:bookmarkStart w:id="1943" w:name="_Toc24966"/>
      <w:bookmarkStart w:id="1944" w:name="_Toc144974861"/>
      <w:bookmarkStart w:id="1945" w:name="_Toc7899"/>
      <w:bookmarkStart w:id="1946" w:name="_Toc152045792"/>
      <w:bookmarkStart w:id="1947" w:name="_Toc247085878"/>
    </w:p>
    <w:p>
      <w:pPr>
        <w:spacing w:line="360" w:lineRule="auto"/>
        <w:ind w:firstLine="424" w:firstLineChars="177"/>
        <w:rPr>
          <w:rFonts w:ascii="宋体" w:hAnsi="宋体"/>
          <w:color w:val="auto"/>
          <w:sz w:val="24"/>
        </w:rPr>
      </w:pPr>
      <w:r>
        <w:rPr>
          <w:rFonts w:hint="eastAsia" w:ascii="宋体" w:hAnsi="宋体"/>
          <w:color w:val="auto"/>
          <w:sz w:val="24"/>
        </w:rPr>
        <w:t>注：联合体投标的填写联合体牵头人信息即可。</w:t>
      </w: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jc w:val="center"/>
        <w:rPr>
          <w:rFonts w:ascii="宋体" w:hAnsi="宋体"/>
          <w:color w:val="auto"/>
          <w:sz w:val="32"/>
        </w:rPr>
      </w:pPr>
      <w:bookmarkStart w:id="1948" w:name="_Toc4326"/>
      <w:bookmarkStart w:id="1949" w:name="_Toc17437"/>
      <w:r>
        <w:rPr>
          <w:rFonts w:ascii="宋体" w:hAnsi="宋体"/>
          <w:color w:val="auto"/>
          <w:sz w:val="32"/>
        </w:rPr>
        <w:br w:type="page"/>
      </w:r>
      <w:bookmarkStart w:id="1950" w:name="_Toc1878"/>
      <w:r>
        <w:rPr>
          <w:rFonts w:hint="eastAsia" w:ascii="宋体" w:hAnsi="宋体"/>
          <w:b/>
          <w:color w:val="auto"/>
          <w:sz w:val="24"/>
        </w:rPr>
        <w:t>（二）授权委托书</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pPr>
        <w:spacing w:line="360" w:lineRule="auto"/>
        <w:rPr>
          <w:rFonts w:ascii="宋体" w:hAnsi="宋体"/>
          <w:color w:val="auto"/>
          <w:sz w:val="24"/>
        </w:rPr>
      </w:pPr>
    </w:p>
    <w:p>
      <w:pPr>
        <w:topLinePunct/>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本人</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单位</w:t>
      </w:r>
      <w:r>
        <w:rPr>
          <w:rFonts w:hint="eastAsia" w:ascii="宋体" w:hAnsi="宋体"/>
          <w:color w:val="auto"/>
          <w:sz w:val="24"/>
        </w:rPr>
        <w:t>名称）的法定代表人，现委托</w:t>
      </w:r>
      <w:r>
        <w:rPr>
          <w:rFonts w:ascii="宋体" w:hAnsi="宋体"/>
          <w:color w:val="auto"/>
          <w:sz w:val="24"/>
          <w:u w:val="single"/>
        </w:rPr>
        <w:t xml:space="preserve">        </w:t>
      </w:r>
      <w:r>
        <w:rPr>
          <w:rFonts w:hint="eastAsia" w:ascii="宋体" w:hAnsi="宋体"/>
          <w:color w:val="auto"/>
          <w:sz w:val="24"/>
        </w:rPr>
        <w:t>（姓名）为我方代理人。代理人根据授权：以我方名义签署、澄清、说明、补正、递交、撤回、修改</w:t>
      </w:r>
      <w:r>
        <w:rPr>
          <w:rFonts w:ascii="宋体" w:hAnsi="宋体"/>
          <w:color w:val="auto"/>
          <w:sz w:val="24"/>
          <w:u w:val="single"/>
        </w:rPr>
        <w:t xml:space="preserve">           </w:t>
      </w:r>
      <w:r>
        <w:rPr>
          <w:rFonts w:hint="eastAsia" w:ascii="宋体" w:hAnsi="宋体"/>
          <w:color w:val="auto"/>
          <w:sz w:val="24"/>
        </w:rPr>
        <w:t>（项目名称）投标文件、签订合同和处理有关事宜，其法律后果由我方承担。</w:t>
      </w:r>
    </w:p>
    <w:p>
      <w:pPr>
        <w:adjustRightInd w:val="0"/>
        <w:snapToGrid w:val="0"/>
        <w:spacing w:line="360" w:lineRule="auto"/>
        <w:ind w:firstLine="200"/>
        <w:rPr>
          <w:rFonts w:ascii="宋体" w:hAnsi="宋体"/>
          <w:color w:val="auto"/>
          <w:sz w:val="24"/>
        </w:rPr>
      </w:pPr>
      <w:r>
        <w:rPr>
          <w:rFonts w:hint="eastAsia" w:ascii="宋体" w:hAnsi="宋体"/>
          <w:color w:val="auto"/>
          <w:sz w:val="24"/>
        </w:rPr>
        <w:t>委托期限：</w:t>
      </w:r>
      <w:r>
        <w:rPr>
          <w:rFonts w:hint="eastAsia" w:ascii="宋体" w:hAnsi="宋体"/>
          <w:color w:val="auto"/>
          <w:sz w:val="24"/>
          <w:u w:val="single"/>
        </w:rPr>
        <w:t>自签发之日起一年内有效</w:t>
      </w:r>
      <w:r>
        <w:rPr>
          <w:rFonts w:ascii="宋体" w:hAnsi="宋体"/>
          <w:color w:val="auto"/>
          <w:sz w:val="24"/>
          <w:u w:val="single"/>
        </w:rPr>
        <w:t xml:space="preserve"> </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代理人无转委托权。</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附：代理人身份证。</w:t>
      </w:r>
    </w:p>
    <w:p>
      <w:pPr>
        <w:adjustRightInd w:val="0"/>
        <w:snapToGrid w:val="0"/>
        <w:spacing w:line="360" w:lineRule="auto"/>
        <w:ind w:firstLine="200"/>
        <w:rPr>
          <w:rFonts w:ascii="宋体" w:hAnsi="宋体"/>
          <w:color w:val="auto"/>
          <w:sz w:val="24"/>
        </w:rPr>
      </w:pPr>
    </w:p>
    <w:p>
      <w:pPr>
        <w:adjustRightInd w:val="0"/>
        <w:snapToGrid w:val="0"/>
        <w:spacing w:line="360" w:lineRule="auto"/>
        <w:ind w:firstLine="200"/>
        <w:rPr>
          <w:rFonts w:ascii="宋体" w:hAnsi="宋体"/>
          <w:color w:val="auto"/>
          <w:sz w:val="24"/>
        </w:rPr>
      </w:pPr>
      <w:bookmarkStart w:id="1951" w:name="_Hlk124685899"/>
      <w:r>
        <w:rPr>
          <w:rFonts w:hint="eastAsia" w:ascii="宋体" w:hAnsi="宋体"/>
          <w:color w:val="auto"/>
          <w:sz w:val="24"/>
        </w:rPr>
        <w:t>法定代表人身份证号码：</w:t>
      </w:r>
      <w:r>
        <w:rPr>
          <w:rFonts w:ascii="宋体" w:hAnsi="宋体"/>
          <w:color w:val="auto"/>
          <w:sz w:val="24"/>
          <w:u w:val="single"/>
        </w:rPr>
        <w:t xml:space="preserve">                                     </w:t>
      </w:r>
    </w:p>
    <w:p>
      <w:pPr>
        <w:adjustRightInd w:val="0"/>
        <w:snapToGrid w:val="0"/>
        <w:spacing w:line="360" w:lineRule="auto"/>
        <w:ind w:firstLine="200"/>
        <w:rPr>
          <w:rFonts w:ascii="宋体" w:hAnsi="宋体"/>
          <w:color w:val="auto"/>
          <w:sz w:val="24"/>
        </w:rPr>
      </w:pPr>
      <w:r>
        <w:rPr>
          <w:rFonts w:hint="eastAsia" w:ascii="宋体" w:hAnsi="宋体"/>
          <w:color w:val="auto"/>
          <w:sz w:val="24"/>
        </w:rPr>
        <w:t>委托代理人身份证号码：</w:t>
      </w:r>
      <w:r>
        <w:rPr>
          <w:rFonts w:ascii="宋体" w:hAnsi="宋体"/>
          <w:color w:val="auto"/>
          <w:sz w:val="24"/>
          <w:u w:val="single"/>
        </w:rPr>
        <w:t xml:space="preserve">                                     </w:t>
      </w:r>
    </w:p>
    <w:p>
      <w:pPr>
        <w:adjustRightInd w:val="0"/>
        <w:snapToGrid w:val="0"/>
        <w:spacing w:line="360" w:lineRule="auto"/>
        <w:ind w:firstLine="200"/>
        <w:rPr>
          <w:rFonts w:ascii="宋体" w:hAnsi="宋体"/>
          <w:color w:val="auto"/>
          <w:sz w:val="24"/>
        </w:rPr>
      </w:pP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bookmarkEnd w:id="1951"/>
    <w:p>
      <w:pPr>
        <w:rPr>
          <w:rFonts w:ascii="宋体" w:hAnsi="宋体"/>
          <w:color w:val="auto"/>
        </w:rPr>
      </w:pPr>
    </w:p>
    <w:p>
      <w:pPr>
        <w:rPr>
          <w:rFonts w:ascii="宋体" w:hAnsi="宋体"/>
          <w:color w:val="auto"/>
        </w:rPr>
      </w:pPr>
      <w:bookmarkStart w:id="1952" w:name="_Toc6695"/>
      <w:bookmarkStart w:id="1953" w:name="_Toc7134"/>
      <w:bookmarkStart w:id="1954" w:name="_Toc20762"/>
      <w:bookmarkStart w:id="1955" w:name="_Toc7125"/>
      <w:bookmarkStart w:id="1956" w:name="_Toc10345"/>
      <w:bookmarkStart w:id="1957" w:name="_Toc4078442"/>
      <w:bookmarkStart w:id="1958" w:name="_Toc20582"/>
      <w:bookmarkStart w:id="1959" w:name="_Toc25658"/>
      <w:bookmarkStart w:id="1960" w:name="_Toc20937"/>
    </w:p>
    <w:p>
      <w:pPr>
        <w:rPr>
          <w:rFonts w:ascii="宋体" w:hAnsi="宋体"/>
          <w:color w:val="auto"/>
        </w:rPr>
      </w:pPr>
    </w:p>
    <w:p>
      <w:pPr>
        <w:rPr>
          <w:rFonts w:ascii="宋体" w:hAnsi="宋体"/>
          <w:color w:val="auto"/>
        </w:rPr>
      </w:pPr>
      <w:r>
        <w:rPr>
          <w:rFonts w:ascii="宋体" w:hAnsi="宋体"/>
          <w:color w:val="auto"/>
          <w:sz w:val="20"/>
        </w:rPr>
        <w:t xml:space="preserve"> </w:t>
      </w:r>
    </w:p>
    <w:p>
      <w:pPr>
        <w:rPr>
          <w:rFonts w:ascii="宋体" w:hAnsi="宋体"/>
          <w:color w:val="auto"/>
        </w:rPr>
      </w:pPr>
    </w:p>
    <w:p>
      <w:pPr>
        <w:spacing w:line="360" w:lineRule="auto"/>
        <w:ind w:firstLine="424" w:firstLineChars="177"/>
        <w:rPr>
          <w:rFonts w:ascii="宋体" w:hAnsi="宋体"/>
          <w:color w:val="auto"/>
          <w:sz w:val="24"/>
        </w:rPr>
      </w:pPr>
      <w:r>
        <w:rPr>
          <w:rFonts w:hint="eastAsia" w:ascii="宋体" w:hAnsi="宋体"/>
          <w:color w:val="auto"/>
          <w:sz w:val="24"/>
        </w:rPr>
        <w:t>注：若为联合体的，由牵头人提供本授权委托书。</w:t>
      </w:r>
    </w:p>
    <w:p>
      <w:pPr>
        <w:pStyle w:val="4"/>
        <w:ind w:firstLine="0" w:firstLineChars="0"/>
        <w:jc w:val="center"/>
        <w:rPr>
          <w:color w:val="auto"/>
        </w:rPr>
      </w:pPr>
      <w:r>
        <w:rPr>
          <w:color w:val="auto"/>
        </w:rPr>
        <w:br w:type="page"/>
      </w:r>
      <w:bookmarkStart w:id="1961" w:name="_Toc24199"/>
      <w:bookmarkStart w:id="1962" w:name="_Toc124613050"/>
      <w:bookmarkStart w:id="1963" w:name="_Toc21842"/>
      <w:r>
        <w:rPr>
          <w:rFonts w:hint="eastAsia"/>
          <w:color w:val="auto"/>
        </w:rPr>
        <w:t>三</w:t>
      </w:r>
      <w:r>
        <w:rPr>
          <w:color w:val="auto"/>
        </w:rPr>
        <w:t>、</w:t>
      </w:r>
      <w:bookmarkStart w:id="1964" w:name="_Toc247527833"/>
      <w:bookmarkStart w:id="1965" w:name="_Toc152042582"/>
      <w:bookmarkStart w:id="1966" w:name="_Toc532897795"/>
      <w:bookmarkStart w:id="1967" w:name="_Toc247514285"/>
      <w:bookmarkStart w:id="1968" w:name="_Toc152045793"/>
      <w:r>
        <w:rPr>
          <w:color w:val="auto"/>
        </w:rPr>
        <w:t>联合体协议书</w:t>
      </w:r>
      <w:bookmarkEnd w:id="1952"/>
      <w:bookmarkEnd w:id="1953"/>
      <w:bookmarkEnd w:id="1954"/>
      <w:r>
        <w:rPr>
          <w:color w:val="auto"/>
        </w:rPr>
        <w:t>（如有）</w:t>
      </w:r>
      <w:bookmarkEnd w:id="1955"/>
      <w:bookmarkEnd w:id="1956"/>
      <w:bookmarkEnd w:id="1957"/>
      <w:bookmarkEnd w:id="1958"/>
      <w:bookmarkEnd w:id="1959"/>
      <w:bookmarkEnd w:id="1960"/>
      <w:bookmarkEnd w:id="1961"/>
      <w:bookmarkEnd w:id="1962"/>
      <w:bookmarkEnd w:id="1963"/>
    </w:p>
    <w:p>
      <w:pPr>
        <w:spacing w:line="360" w:lineRule="auto"/>
        <w:rPr>
          <w:rFonts w:ascii="宋体" w:hAnsi="宋体" w:cs="宋体"/>
          <w:color w:val="auto"/>
          <w:sz w:val="24"/>
        </w:rPr>
      </w:pPr>
    </w:p>
    <w:bookmarkEnd w:id="1964"/>
    <w:bookmarkEnd w:id="1965"/>
    <w:bookmarkEnd w:id="1966"/>
    <w:bookmarkEnd w:id="1967"/>
    <w:bookmarkEnd w:id="1968"/>
    <w:p>
      <w:pPr>
        <w:spacing w:line="360" w:lineRule="auto"/>
        <w:ind w:firstLine="480" w:firstLineChars="200"/>
        <w:rPr>
          <w:rFonts w:ascii="宋体" w:hAnsi="宋体"/>
          <w:color w:val="auto"/>
          <w:sz w:val="24"/>
        </w:rPr>
      </w:pPr>
      <w:r>
        <w:rPr>
          <w:rFonts w:ascii="宋体" w:hAnsi="宋体"/>
          <w:color w:val="auto"/>
          <w:sz w:val="24"/>
          <w:u w:val="single"/>
        </w:rPr>
        <w:t xml:space="preserve">               </w:t>
      </w:r>
      <w:r>
        <w:rPr>
          <w:rFonts w:ascii="宋体" w:hAnsi="宋体"/>
          <w:color w:val="auto"/>
          <w:sz w:val="24"/>
        </w:rPr>
        <w:t>（所有成员单位名称）自愿组成</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（联合体名称）联合体，共同参加</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（项目名称）</w:t>
      </w:r>
      <w:r>
        <w:rPr>
          <w:rFonts w:hint="eastAsia" w:ascii="宋体" w:hAnsi="宋体"/>
          <w:color w:val="auto"/>
          <w:sz w:val="24"/>
        </w:rPr>
        <w:t>施工</w:t>
      </w:r>
      <w:r>
        <w:rPr>
          <w:rFonts w:ascii="宋体" w:hAnsi="宋体"/>
          <w:color w:val="auto"/>
          <w:sz w:val="24"/>
        </w:rPr>
        <w:t>招标项目投标。现就联合体投标事宜订立如下协议。</w:t>
      </w:r>
    </w:p>
    <w:p>
      <w:pPr>
        <w:spacing w:line="360" w:lineRule="auto"/>
        <w:ind w:firstLine="480" w:firstLineChars="200"/>
        <w:rPr>
          <w:rFonts w:ascii="宋体" w:hAnsi="宋体"/>
          <w:color w:val="auto"/>
          <w:sz w:val="24"/>
        </w:rPr>
      </w:pPr>
      <w:r>
        <w:rPr>
          <w:rFonts w:ascii="宋体" w:hAnsi="宋体"/>
          <w:color w:val="auto"/>
          <w:sz w:val="24"/>
        </w:rPr>
        <w:t>1.</w:t>
      </w:r>
      <w:r>
        <w:rPr>
          <w:rFonts w:ascii="宋体" w:hAnsi="宋体"/>
          <w:color w:val="auto"/>
          <w:sz w:val="24"/>
          <w:u w:val="single"/>
        </w:rPr>
        <w:t xml:space="preserve">                    </w:t>
      </w:r>
      <w:r>
        <w:rPr>
          <w:rFonts w:ascii="宋体" w:hAnsi="宋体"/>
          <w:color w:val="auto"/>
          <w:sz w:val="24"/>
        </w:rPr>
        <w:t>（某成员单位名称）为</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（联合体名称）</w:t>
      </w:r>
      <w:r>
        <w:rPr>
          <w:rFonts w:hint="eastAsia" w:ascii="宋体" w:hAnsi="宋体"/>
          <w:color w:val="auto"/>
          <w:sz w:val="24"/>
        </w:rPr>
        <w:t>牵头人</w:t>
      </w:r>
      <w:r>
        <w:rPr>
          <w:rFonts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.联合体各成员授权</w:t>
      </w:r>
      <w:r>
        <w:rPr>
          <w:rFonts w:hint="eastAsia" w:ascii="宋体" w:hAnsi="宋体"/>
          <w:color w:val="auto"/>
          <w:sz w:val="24"/>
        </w:rPr>
        <w:t>牵头人</w:t>
      </w:r>
      <w:r>
        <w:rPr>
          <w:rFonts w:ascii="宋体" w:hAnsi="宋体"/>
          <w:color w:val="auto"/>
          <w:sz w:val="24"/>
        </w:rPr>
        <w:t>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联合体牵头人</w:t>
      </w:r>
      <w:r>
        <w:rPr>
          <w:rFonts w:ascii="宋体" w:hAnsi="宋体"/>
          <w:color w:val="auto"/>
          <w:sz w:val="24"/>
        </w:rPr>
        <w:t>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.联合体各成员单位内部的职责分工如下：</w:t>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rPr>
        <w:t>。</w:t>
      </w:r>
    </w:p>
    <w:p>
      <w:pPr>
        <w:topLinePunct/>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ascii="宋体" w:hAnsi="宋体"/>
          <w:color w:val="auto"/>
          <w:sz w:val="24"/>
        </w:rPr>
        <w:t>本协议书自所有成员单位法定代表人或其委托代理人签字或</w:t>
      </w:r>
      <w:r>
        <w:rPr>
          <w:rFonts w:hint="eastAsia" w:ascii="宋体" w:hAnsi="宋体"/>
          <w:color w:val="auto"/>
          <w:sz w:val="24"/>
        </w:rPr>
        <w:t>盖公章</w:t>
      </w:r>
      <w:r>
        <w:rPr>
          <w:rFonts w:ascii="宋体" w:hAnsi="宋体"/>
          <w:color w:val="auto"/>
          <w:sz w:val="24"/>
        </w:rPr>
        <w:t>之日起生效，合同履行完毕后自动失效</w:t>
      </w:r>
      <w:r>
        <w:rPr>
          <w:rFonts w:hint="eastAsia" w:ascii="宋体" w:hAnsi="宋体" w:cs="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.本协议书一式</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份，联合体成员和招标人各执一份。</w:t>
      </w:r>
    </w:p>
    <w:p>
      <w:pPr>
        <w:spacing w:line="360" w:lineRule="auto"/>
        <w:rPr>
          <w:rFonts w:ascii="宋体" w:hAnsi="宋体"/>
          <w:color w:val="auto"/>
          <w:sz w:val="24"/>
        </w:rPr>
      </w:pPr>
    </w:p>
    <w:p>
      <w:pPr>
        <w:spacing w:line="360" w:lineRule="auto"/>
        <w:ind w:firstLine="3518" w:firstLineChars="1466"/>
        <w:rPr>
          <w:rFonts w:ascii="宋体" w:hAnsi="宋体"/>
          <w:color w:val="auto"/>
          <w:sz w:val="24"/>
        </w:rPr>
      </w:pPr>
    </w:p>
    <w:p>
      <w:pPr>
        <w:spacing w:line="360" w:lineRule="auto"/>
        <w:ind w:firstLine="3518" w:firstLineChars="1466"/>
        <w:rPr>
          <w:rFonts w:ascii="宋体" w:hAnsi="宋体"/>
          <w:color w:val="auto"/>
          <w:sz w:val="24"/>
        </w:rPr>
      </w:pPr>
    </w:p>
    <w:p>
      <w:pPr>
        <w:snapToGrid w:val="0"/>
        <w:spacing w:line="480" w:lineRule="auto"/>
        <w:ind w:firstLine="3518" w:firstLineChars="1466"/>
        <w:jc w:val="right"/>
        <w:rPr>
          <w:rFonts w:ascii="宋体" w:hAnsi="宋体"/>
          <w:color w:val="auto"/>
          <w:sz w:val="24"/>
        </w:rPr>
      </w:pPr>
      <w:bookmarkStart w:id="1969" w:name="_Hlk124760929"/>
      <w:bookmarkStart w:id="1970" w:name="_Toc246996362"/>
      <w:bookmarkStart w:id="1971" w:name="_Toc17844"/>
      <w:bookmarkStart w:id="1972" w:name="_Toc152042583"/>
      <w:bookmarkStart w:id="1973" w:name="_Toc28402"/>
      <w:bookmarkStart w:id="1974" w:name="_Toc246997105"/>
      <w:bookmarkStart w:id="1975" w:name="_Toc16544"/>
      <w:bookmarkStart w:id="1976" w:name="_Toc144974862"/>
      <w:bookmarkStart w:id="1977" w:name="_Toc152045794"/>
      <w:bookmarkStart w:id="1978" w:name="_Toc179632814"/>
      <w:bookmarkStart w:id="1979" w:name="_Toc20992"/>
      <w:bookmarkStart w:id="1980" w:name="_Toc32317"/>
      <w:bookmarkStart w:id="1981" w:name="_Toc21990"/>
      <w:bookmarkStart w:id="1982" w:name="_Toc4078443"/>
      <w:bookmarkStart w:id="1983" w:name="_Toc247085880"/>
      <w:r>
        <w:rPr>
          <w:rFonts w:ascii="宋体" w:hAnsi="宋体"/>
          <w:color w:val="auto"/>
          <w:sz w:val="24"/>
        </w:rPr>
        <w:t>联合体</w:t>
      </w:r>
      <w:r>
        <w:rPr>
          <w:rFonts w:hint="eastAsia" w:ascii="宋体" w:hAnsi="宋体"/>
          <w:color w:val="auto"/>
          <w:sz w:val="24"/>
        </w:rPr>
        <w:t>牵头人</w:t>
      </w:r>
      <w:r>
        <w:rPr>
          <w:rFonts w:ascii="宋体" w:hAnsi="宋体"/>
          <w:color w:val="auto"/>
          <w:sz w:val="24"/>
        </w:rPr>
        <w:t>名称：</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电子签章</w:t>
      </w:r>
      <w:r>
        <w:rPr>
          <w:rFonts w:ascii="宋体" w:hAnsi="宋体"/>
          <w:color w:val="auto"/>
          <w:sz w:val="24"/>
        </w:rPr>
        <w:t>）</w:t>
      </w:r>
    </w:p>
    <w:p>
      <w:pPr>
        <w:snapToGrid w:val="0"/>
        <w:spacing w:line="480" w:lineRule="auto"/>
        <w:ind w:firstLine="2692" w:firstLineChars="1122"/>
        <w:jc w:val="right"/>
        <w:rPr>
          <w:rFonts w:ascii="宋体" w:hAnsi="宋体"/>
          <w:color w:val="auto"/>
          <w:sz w:val="24"/>
        </w:rPr>
      </w:pPr>
      <w:r>
        <w:rPr>
          <w:rFonts w:hint="eastAsia" w:ascii="宋体" w:hAnsi="宋体"/>
          <w:color w:val="auto"/>
          <w:sz w:val="24"/>
        </w:rPr>
        <w:t>法定代表人</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电子签名</w:t>
      </w:r>
      <w:r>
        <w:rPr>
          <w:rFonts w:ascii="宋体" w:hAnsi="宋体"/>
          <w:color w:val="auto"/>
          <w:sz w:val="24"/>
        </w:rPr>
        <w:t>）</w:t>
      </w:r>
    </w:p>
    <w:p>
      <w:pPr>
        <w:snapToGrid w:val="0"/>
        <w:spacing w:line="480" w:lineRule="auto"/>
        <w:ind w:firstLine="3518" w:firstLineChars="1466"/>
        <w:jc w:val="right"/>
        <w:rPr>
          <w:rFonts w:ascii="宋体" w:hAnsi="宋体"/>
          <w:color w:val="auto"/>
          <w:sz w:val="24"/>
        </w:rPr>
      </w:pPr>
      <w:r>
        <w:rPr>
          <w:rFonts w:ascii="宋体" w:hAnsi="宋体"/>
          <w:color w:val="auto"/>
          <w:sz w:val="24"/>
        </w:rPr>
        <w:t>联合体成员名称：</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电子签章</w:t>
      </w:r>
      <w:r>
        <w:rPr>
          <w:rFonts w:ascii="宋体" w:hAnsi="宋体"/>
          <w:color w:val="auto"/>
          <w:sz w:val="24"/>
        </w:rPr>
        <w:t>）</w:t>
      </w:r>
    </w:p>
    <w:p>
      <w:pPr>
        <w:snapToGrid w:val="0"/>
        <w:spacing w:line="480" w:lineRule="auto"/>
        <w:ind w:firstLine="3518" w:firstLineChars="1466"/>
        <w:jc w:val="right"/>
        <w:rPr>
          <w:rFonts w:ascii="宋体" w:hAnsi="宋体"/>
          <w:color w:val="auto"/>
          <w:sz w:val="24"/>
        </w:rPr>
      </w:pPr>
      <w:r>
        <w:rPr>
          <w:rFonts w:ascii="宋体" w:hAnsi="宋体"/>
          <w:color w:val="auto"/>
          <w:sz w:val="24"/>
        </w:rPr>
        <w:t>法定代表人：</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电子签名</w:t>
      </w:r>
      <w:r>
        <w:rPr>
          <w:rFonts w:ascii="宋体" w:hAnsi="宋体"/>
          <w:color w:val="auto"/>
          <w:sz w:val="24"/>
        </w:rPr>
        <w:t>）</w:t>
      </w:r>
    </w:p>
    <w:bookmarkEnd w:id="1969"/>
    <w:p>
      <w:pPr>
        <w:snapToGrid w:val="0"/>
        <w:spacing w:line="360" w:lineRule="auto"/>
        <w:jc w:val="right"/>
        <w:rPr>
          <w:rFonts w:ascii="宋体" w:hAnsi="宋体"/>
          <w:color w:val="auto"/>
          <w:sz w:val="24"/>
        </w:rPr>
      </w:pP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pStyle w:val="2"/>
        <w:ind w:firstLine="360"/>
        <w:rPr>
          <w:rFonts w:asciiTheme="minorEastAsia" w:hAnsiTheme="minorEastAsia" w:eastAsiaTheme="minorEastAsia" w:cstheme="minorEastAsia"/>
          <w:color w:val="auto"/>
          <w:sz w:val="22"/>
          <w:szCs w:val="28"/>
          <w:shd w:val="clear" w:color="auto" w:fill="auto"/>
        </w:rPr>
      </w:pPr>
      <w:r>
        <w:rPr>
          <w:rFonts w:hint="eastAsia" w:asciiTheme="minorEastAsia" w:hAnsiTheme="minorEastAsia" w:eastAsiaTheme="minorEastAsia" w:cstheme="minorEastAsia"/>
          <w:color w:val="auto"/>
          <w:sz w:val="18"/>
          <w:szCs w:val="18"/>
          <w:shd w:val="clear" w:color="auto" w:fill="auto"/>
        </w:rPr>
        <w:t>注：联合体协议书如采用线下签订方式的，则格式中的“电子签章”改为“盖公章”、“电子签名”改为“签字或盖章”，将签订好的书面联合体协议书扫描编入投标文件中即可，无需再进行电子签章及电子签名。</w:t>
      </w:r>
    </w:p>
    <w:p>
      <w:pPr>
        <w:pStyle w:val="4"/>
        <w:ind w:firstLine="0" w:firstLineChars="0"/>
        <w:jc w:val="center"/>
        <w:rPr>
          <w:color w:val="auto"/>
        </w:rPr>
      </w:pPr>
      <w:r>
        <w:rPr>
          <w:color w:val="auto"/>
        </w:rPr>
        <w:br w:type="page"/>
      </w:r>
      <w:bookmarkStart w:id="1984" w:name="_Toc124613051"/>
      <w:bookmarkStart w:id="1985" w:name="_Toc13113"/>
      <w:r>
        <w:rPr>
          <w:rFonts w:hint="eastAsia"/>
          <w:color w:val="auto"/>
        </w:rPr>
        <w:t>四、投标保证金</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p>
    <w:p>
      <w:pPr>
        <w:spacing w:line="440" w:lineRule="exact"/>
        <w:ind w:firstLine="480" w:firstLineChars="200"/>
        <w:rPr>
          <w:rFonts w:ascii="宋体" w:hAnsi="宋体"/>
          <w:color w:val="auto"/>
          <w:sz w:val="24"/>
        </w:rPr>
      </w:pPr>
      <w:r>
        <w:rPr>
          <w:rFonts w:hint="eastAsia" w:ascii="宋体" w:hAnsi="宋体"/>
          <w:color w:val="auto"/>
          <w:sz w:val="24"/>
        </w:rPr>
        <w:t>如采用转账、汇款形式的，投标人应在此提供银行转账凭证复印件；</w:t>
      </w:r>
    </w:p>
    <w:p>
      <w:pPr>
        <w:spacing w:line="440" w:lineRule="exact"/>
        <w:ind w:firstLine="480" w:firstLineChars="200"/>
        <w:rPr>
          <w:rFonts w:ascii="宋体" w:hAnsi="宋体"/>
          <w:color w:val="auto"/>
          <w:sz w:val="24"/>
        </w:rPr>
      </w:pPr>
      <w:r>
        <w:rPr>
          <w:rFonts w:hint="eastAsia" w:ascii="宋体" w:hAnsi="宋体"/>
          <w:color w:val="auto"/>
          <w:sz w:val="24"/>
        </w:rPr>
        <w:t>如采用电子银行保函的，投标人应在此提供惠州市公共资源交易中心建设工程招投标交易平台下载的电子保函；</w:t>
      </w:r>
    </w:p>
    <w:p>
      <w:pPr>
        <w:spacing w:line="440" w:lineRule="exact"/>
        <w:ind w:firstLine="480" w:firstLineChars="200"/>
        <w:rPr>
          <w:rFonts w:ascii="宋体" w:hAnsi="宋体"/>
          <w:color w:val="auto"/>
          <w:sz w:val="24"/>
        </w:rPr>
      </w:pPr>
      <w:r>
        <w:rPr>
          <w:rFonts w:hint="eastAsia" w:ascii="宋体" w:hAnsi="宋体"/>
          <w:color w:val="auto"/>
          <w:sz w:val="24"/>
        </w:rPr>
        <w:t>如采用电子保证保险的，投标人应在此提供惠州市公共资源交易中心建设工程招投标交易平台下载的电子保单。</w:t>
      </w:r>
    </w:p>
    <w:p>
      <w:pPr>
        <w:tabs>
          <w:tab w:val="left" w:pos="720"/>
        </w:tabs>
        <w:spacing w:line="360" w:lineRule="auto"/>
        <w:ind w:firstLine="480" w:firstLineChars="200"/>
        <w:rPr>
          <w:rFonts w:ascii="宋体" w:hAnsi="宋体" w:cs="宋体"/>
          <w:color w:val="auto"/>
          <w:sz w:val="24"/>
        </w:rPr>
      </w:pPr>
    </w:p>
    <w:p>
      <w:pPr>
        <w:pStyle w:val="4"/>
        <w:ind w:firstLine="0" w:firstLineChars="0"/>
        <w:jc w:val="center"/>
        <w:rPr>
          <w:b w:val="0"/>
          <w:color w:val="auto"/>
        </w:rPr>
      </w:pPr>
      <w:r>
        <w:rPr>
          <w:color w:val="auto"/>
        </w:rPr>
        <w:br w:type="page"/>
      </w:r>
      <w:bookmarkStart w:id="1986" w:name="_Toc144974871"/>
      <w:bookmarkStart w:id="1987" w:name="_Toc4359"/>
      <w:bookmarkStart w:id="1988" w:name="_Toc12382"/>
      <w:bookmarkStart w:id="1989" w:name="_Toc20253"/>
      <w:bookmarkStart w:id="1990" w:name="_Toc20230"/>
      <w:bookmarkStart w:id="1991" w:name="_Toc28205"/>
      <w:bookmarkStart w:id="1992" w:name="_Toc246996369"/>
      <w:bookmarkStart w:id="1993" w:name="_Toc152045803"/>
      <w:bookmarkStart w:id="1994" w:name="_Toc152042592"/>
      <w:bookmarkStart w:id="1995" w:name="_Toc7927"/>
      <w:bookmarkStart w:id="1996" w:name="_Toc179632823"/>
      <w:bookmarkStart w:id="1997" w:name="_Toc246997112"/>
      <w:bookmarkStart w:id="1998" w:name="_Toc4078450"/>
      <w:bookmarkStart w:id="1999" w:name="_Toc247085887"/>
      <w:bookmarkStart w:id="2000" w:name="_Toc124613052"/>
      <w:bookmarkStart w:id="2001" w:name="_Toc12887"/>
      <w:bookmarkStart w:id="2002" w:name="_Toc27406"/>
      <w:r>
        <w:rPr>
          <w:rFonts w:hint="eastAsia"/>
          <w:color w:val="auto"/>
        </w:rPr>
        <w:t>五、</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Pr>
          <w:rFonts w:hint="eastAsia"/>
          <w:color w:val="auto"/>
        </w:rPr>
        <w:t>资格审查资料</w:t>
      </w:r>
      <w:bookmarkEnd w:id="2000"/>
      <w:bookmarkEnd w:id="2001"/>
      <w:bookmarkEnd w:id="2002"/>
    </w:p>
    <w:p>
      <w:pPr>
        <w:pStyle w:val="5"/>
        <w:ind w:firstLine="0" w:firstLineChars="0"/>
        <w:jc w:val="center"/>
        <w:rPr>
          <w:color w:val="auto"/>
        </w:rPr>
      </w:pPr>
      <w:bookmarkStart w:id="2003" w:name="_Toc4078454"/>
      <w:bookmarkStart w:id="2004" w:name="_Toc8640"/>
      <w:bookmarkStart w:id="2005" w:name="_Toc18708"/>
      <w:bookmarkStart w:id="2006" w:name="_Toc124613053"/>
      <w:bookmarkStart w:id="2007" w:name="_Toc21505"/>
      <w:bookmarkStart w:id="2008" w:name="_Toc152045808"/>
      <w:bookmarkStart w:id="2009" w:name="_Toc18736"/>
      <w:bookmarkStart w:id="2010" w:name="_Toc11503"/>
      <w:bookmarkStart w:id="2011" w:name="_Toc246996373"/>
      <w:bookmarkStart w:id="2012" w:name="_Toc247085891"/>
      <w:bookmarkStart w:id="2013" w:name="_Toc179632828"/>
      <w:bookmarkStart w:id="2014" w:name="_Toc152042597"/>
      <w:bookmarkStart w:id="2015" w:name="_Toc246997116"/>
      <w:bookmarkStart w:id="2016" w:name="_Toc4152"/>
      <w:bookmarkStart w:id="2017" w:name="_Toc16052"/>
      <w:bookmarkStart w:id="2018" w:name="_Toc24498"/>
      <w:bookmarkStart w:id="2019" w:name="_Toc144974876"/>
      <w:bookmarkStart w:id="2020" w:name="_Toc246996370"/>
      <w:bookmarkStart w:id="2021" w:name="_Toc26555"/>
      <w:bookmarkStart w:id="2022" w:name="_Toc32235"/>
      <w:bookmarkStart w:id="2023" w:name="_Toc246997113"/>
      <w:bookmarkStart w:id="2024" w:name="_Toc144974872"/>
      <w:bookmarkStart w:id="2025" w:name="_Toc30904"/>
      <w:bookmarkStart w:id="2026" w:name="_Toc179632824"/>
      <w:bookmarkStart w:id="2027" w:name="_Toc152042593"/>
      <w:bookmarkStart w:id="2028" w:name="_Toc247085888"/>
      <w:bookmarkStart w:id="2029" w:name="_Toc24485"/>
      <w:bookmarkStart w:id="2030" w:name="_Toc25908"/>
      <w:bookmarkStart w:id="2031" w:name="_Toc4078451"/>
      <w:bookmarkStart w:id="2032" w:name="_Toc152045804"/>
      <w:r>
        <w:rPr>
          <w:color w:val="auto"/>
        </w:rPr>
        <w:t>（一）投标人基本情况表</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tbl>
      <w:tblPr>
        <w:tblStyle w:val="46"/>
        <w:tblW w:w="91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5"/>
        <w:gridCol w:w="964"/>
        <w:gridCol w:w="1021"/>
        <w:gridCol w:w="901"/>
        <w:gridCol w:w="451"/>
        <w:gridCol w:w="335"/>
        <w:gridCol w:w="1157"/>
        <w:gridCol w:w="525"/>
        <w:gridCol w:w="923"/>
        <w:gridCol w:w="1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szCs w:val="21"/>
              </w:rPr>
              <w:t>单位</w:t>
            </w:r>
            <w:r>
              <w:rPr>
                <w:rFonts w:hint="eastAsia" w:ascii="宋体" w:hAnsi="宋体"/>
                <w:color w:val="auto"/>
              </w:rPr>
              <w:t>名称</w:t>
            </w:r>
          </w:p>
        </w:tc>
        <w:tc>
          <w:tcPr>
            <w:tcW w:w="7344"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注册地址</w:t>
            </w:r>
          </w:p>
        </w:tc>
        <w:tc>
          <w:tcPr>
            <w:tcW w:w="3672" w:type="dxa"/>
            <w:gridSpan w:val="5"/>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115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邮政编码</w:t>
            </w:r>
          </w:p>
        </w:tc>
        <w:tc>
          <w:tcPr>
            <w:tcW w:w="2515"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855"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联系方式</w:t>
            </w:r>
          </w:p>
        </w:tc>
        <w:tc>
          <w:tcPr>
            <w:tcW w:w="96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联系人</w:t>
            </w:r>
          </w:p>
        </w:tc>
        <w:tc>
          <w:tcPr>
            <w:tcW w:w="270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115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电</w:t>
            </w:r>
            <w:r>
              <w:rPr>
                <w:rFonts w:ascii="宋体" w:hAnsi="宋体"/>
                <w:color w:val="auto"/>
              </w:rPr>
              <w:t xml:space="preserve"> </w:t>
            </w:r>
            <w:r>
              <w:rPr>
                <w:rFonts w:hint="eastAsia" w:ascii="宋体" w:hAnsi="宋体"/>
                <w:color w:val="auto"/>
              </w:rPr>
              <w:t>话</w:t>
            </w:r>
          </w:p>
        </w:tc>
        <w:tc>
          <w:tcPr>
            <w:tcW w:w="2515"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1855"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6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传</w:t>
            </w:r>
            <w:r>
              <w:rPr>
                <w:rFonts w:ascii="宋体" w:hAnsi="宋体"/>
                <w:color w:val="auto"/>
              </w:rPr>
              <w:t xml:space="preserve">  </w:t>
            </w:r>
            <w:r>
              <w:rPr>
                <w:rFonts w:hint="eastAsia" w:ascii="宋体" w:hAnsi="宋体"/>
                <w:color w:val="auto"/>
              </w:rPr>
              <w:t>真</w:t>
            </w:r>
          </w:p>
        </w:tc>
        <w:tc>
          <w:tcPr>
            <w:tcW w:w="270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115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网</w:t>
            </w:r>
            <w:r>
              <w:rPr>
                <w:rFonts w:ascii="宋体" w:hAnsi="宋体"/>
                <w:color w:val="auto"/>
              </w:rPr>
              <w:t xml:space="preserve"> </w:t>
            </w:r>
            <w:r>
              <w:rPr>
                <w:rFonts w:hint="eastAsia" w:ascii="宋体" w:hAnsi="宋体"/>
                <w:color w:val="auto"/>
              </w:rPr>
              <w:t>址</w:t>
            </w:r>
          </w:p>
        </w:tc>
        <w:tc>
          <w:tcPr>
            <w:tcW w:w="2515"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组织结构</w:t>
            </w:r>
          </w:p>
        </w:tc>
        <w:tc>
          <w:tcPr>
            <w:tcW w:w="7344" w:type="dxa"/>
            <w:gridSpan w:val="9"/>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法定代表人</w:t>
            </w:r>
          </w:p>
        </w:tc>
        <w:tc>
          <w:tcPr>
            <w:tcW w:w="96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姓名</w:t>
            </w:r>
          </w:p>
        </w:tc>
        <w:tc>
          <w:tcPr>
            <w:tcW w:w="102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技术职称</w:t>
            </w:r>
          </w:p>
        </w:tc>
        <w:tc>
          <w:tcPr>
            <w:tcW w:w="2017"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2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r>
              <w:rPr>
                <w:rFonts w:hint="eastAsia" w:ascii="宋体" w:hAnsi="宋体"/>
                <w:color w:val="auto"/>
              </w:rPr>
              <w:t>电话</w:t>
            </w:r>
          </w:p>
        </w:tc>
        <w:tc>
          <w:tcPr>
            <w:tcW w:w="106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技术负责人</w:t>
            </w:r>
          </w:p>
        </w:tc>
        <w:tc>
          <w:tcPr>
            <w:tcW w:w="96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姓名</w:t>
            </w:r>
          </w:p>
        </w:tc>
        <w:tc>
          <w:tcPr>
            <w:tcW w:w="102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技术职称</w:t>
            </w:r>
          </w:p>
        </w:tc>
        <w:tc>
          <w:tcPr>
            <w:tcW w:w="2017"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2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r>
              <w:rPr>
                <w:rFonts w:hint="eastAsia" w:ascii="宋体" w:hAnsi="宋体"/>
                <w:color w:val="auto"/>
              </w:rPr>
              <w:t>电话</w:t>
            </w:r>
          </w:p>
        </w:tc>
        <w:tc>
          <w:tcPr>
            <w:tcW w:w="106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成立时间</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5359" w:type="dxa"/>
            <w:gridSpan w:val="7"/>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宋体" w:hAnsi="宋体"/>
                <w:color w:val="auto"/>
              </w:rPr>
            </w:pPr>
            <w:r>
              <w:rPr>
                <w:rFonts w:hint="eastAsia" w:ascii="宋体" w:hAnsi="宋体"/>
                <w:color w:val="auto"/>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企业资质等级</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其中</w:t>
            </w:r>
          </w:p>
        </w:tc>
        <w:tc>
          <w:tcPr>
            <w:tcW w:w="246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项目负责人</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营业执照号</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246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高级职称人员</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注册资金</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246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中级职称人员</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开户银行</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246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初级职称人员</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账号</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p>
        </w:tc>
        <w:tc>
          <w:tcPr>
            <w:tcW w:w="246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技</w:t>
            </w:r>
            <w:r>
              <w:rPr>
                <w:rFonts w:ascii="宋体" w:hAnsi="宋体"/>
                <w:color w:val="auto"/>
              </w:rPr>
              <w:t xml:space="preserve">  </w:t>
            </w:r>
            <w:r>
              <w:rPr>
                <w:rFonts w:hint="eastAsia" w:ascii="宋体" w:hAnsi="宋体"/>
                <w:color w:val="auto"/>
              </w:rPr>
              <w:t>工</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55" w:type="dxa"/>
            <w:tcBorders>
              <w:top w:val="single" w:color="auto" w:sz="4" w:space="0"/>
              <w:left w:val="single" w:color="auto" w:sz="4" w:space="0"/>
              <w:right w:val="single" w:color="auto" w:sz="4" w:space="0"/>
            </w:tcBorders>
            <w:vAlign w:val="center"/>
          </w:tcPr>
          <w:p>
            <w:pPr>
              <w:topLinePunct/>
              <w:ind w:firstLine="210" w:firstLineChars="100"/>
              <w:jc w:val="center"/>
              <w:rPr>
                <w:rFonts w:ascii="宋体" w:hAnsi="宋体"/>
                <w:color w:val="auto"/>
              </w:rPr>
            </w:pPr>
            <w:r>
              <w:rPr>
                <w:rFonts w:hint="eastAsia" w:ascii="宋体" w:hAnsi="宋体"/>
                <w:color w:val="auto"/>
              </w:rPr>
              <w:t>经营范围</w:t>
            </w:r>
          </w:p>
        </w:tc>
        <w:tc>
          <w:tcPr>
            <w:tcW w:w="7344" w:type="dxa"/>
            <w:gridSpan w:val="9"/>
            <w:tcBorders>
              <w:top w:val="single" w:color="auto" w:sz="4" w:space="0"/>
              <w:left w:val="single" w:color="auto" w:sz="4" w:space="0"/>
              <w:right w:val="single" w:color="auto" w:sz="4" w:space="0"/>
            </w:tcBorders>
            <w:vAlign w:val="center"/>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85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rPr>
            </w:pPr>
            <w:r>
              <w:rPr>
                <w:rFonts w:hint="eastAsia" w:ascii="宋体" w:hAnsi="宋体"/>
                <w:color w:val="auto"/>
              </w:rPr>
              <w:t>备注</w:t>
            </w:r>
          </w:p>
        </w:tc>
        <w:tc>
          <w:tcPr>
            <w:tcW w:w="7344"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p>
        </w:tc>
      </w:tr>
    </w:tbl>
    <w:p>
      <w:pPr>
        <w:autoSpaceDE w:val="0"/>
        <w:autoSpaceDN w:val="0"/>
        <w:adjustRightInd w:val="0"/>
        <w:snapToGrid w:val="0"/>
        <w:spacing w:line="480" w:lineRule="atLeast"/>
        <w:jc w:val="left"/>
        <w:rPr>
          <w:rFonts w:ascii="宋体" w:hAnsi="宋体" w:cs="宋体"/>
          <w:color w:val="auto"/>
          <w:szCs w:val="21"/>
        </w:rPr>
      </w:pPr>
      <w:r>
        <w:rPr>
          <w:rFonts w:hint="eastAsia" w:ascii="宋体" w:hAnsi="宋体" w:cs="宋体"/>
          <w:color w:val="auto"/>
          <w:szCs w:val="21"/>
        </w:rPr>
        <w:t>注：（1）投标人应根据投标须知第 3.5.1 项的要求在本表后附相关证明材料。</w:t>
      </w:r>
    </w:p>
    <w:p>
      <w:pPr>
        <w:autoSpaceDE w:val="0"/>
        <w:autoSpaceDN w:val="0"/>
        <w:adjustRightInd w:val="0"/>
        <w:snapToGrid w:val="0"/>
        <w:spacing w:line="480" w:lineRule="atLeast"/>
        <w:jc w:val="left"/>
        <w:rPr>
          <w:rFonts w:ascii="宋体" w:hAnsi="宋体" w:cs="宋体"/>
          <w:color w:val="auto"/>
          <w:szCs w:val="21"/>
        </w:rPr>
      </w:pPr>
      <w:r>
        <w:rPr>
          <w:rFonts w:hint="eastAsia" w:ascii="宋体" w:hAnsi="宋体" w:cs="宋体"/>
          <w:color w:val="auto"/>
          <w:szCs w:val="21"/>
        </w:rPr>
        <w:t>（2）若为联合体的，各成员分别填写本表。</w:t>
      </w:r>
    </w:p>
    <w:p>
      <w:pPr>
        <w:pStyle w:val="5"/>
        <w:ind w:firstLine="0" w:firstLineChars="0"/>
        <w:jc w:val="center"/>
        <w:rPr>
          <w:color w:val="auto"/>
          <w:sz w:val="23"/>
        </w:rPr>
      </w:pPr>
      <w:bookmarkStart w:id="2033" w:name="_Toc28464"/>
      <w:bookmarkStart w:id="2034" w:name="_Toc20197"/>
      <w:r>
        <w:rPr>
          <w:color w:val="auto"/>
        </w:rPr>
        <w:br w:type="page"/>
      </w:r>
      <w:bookmarkStart w:id="2035" w:name="_Toc124613054"/>
      <w:bookmarkStart w:id="2036" w:name="_Toc26546"/>
      <w:r>
        <w:rPr>
          <w:rFonts w:hint="eastAsia"/>
          <w:color w:val="auto"/>
        </w:rPr>
        <w:t>（二）</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rPr>
          <w:color w:val="auto"/>
        </w:rPr>
        <w:t>项目管理机构组成</w:t>
      </w:r>
      <w:bookmarkEnd w:id="2035"/>
      <w:bookmarkEnd w:id="2036"/>
    </w:p>
    <w:p>
      <w:pPr>
        <w:spacing w:line="360" w:lineRule="auto"/>
        <w:jc w:val="left"/>
        <w:rPr>
          <w:rFonts w:ascii="宋体" w:hAnsi="宋体" w:cs="宋体"/>
          <w:b/>
          <w:bCs/>
          <w:color w:val="auto"/>
          <w:sz w:val="24"/>
        </w:rPr>
      </w:pPr>
      <w:bookmarkStart w:id="2037" w:name="_Toc2447"/>
      <w:bookmarkStart w:id="2038" w:name="_Toc24757"/>
      <w:r>
        <w:rPr>
          <w:rFonts w:hint="eastAsia" w:ascii="宋体" w:hAnsi="宋体" w:cs="宋体"/>
          <w:b/>
          <w:bCs/>
          <w:color w:val="auto"/>
          <w:sz w:val="24"/>
        </w:rPr>
        <w:t>说明：投标人按招标公告要求项目施工现场配的最基本的管理班子人员在惠州市公共资源交易中心建设工程招投标交易平台进行填报，拟派驻本工程的项目班子成员必须是惠州市建筑业信用信息平台录入的对应岗位人员。填报完成后从惠州市公共资源交易中心建设工程招投标交易平台打印《投标回执》作为项目管理机构组成的内容，放在此处，格式不得更改。</w:t>
      </w:r>
      <w:bookmarkEnd w:id="2037"/>
      <w:bookmarkEnd w:id="2038"/>
    </w:p>
    <w:p>
      <w:pPr>
        <w:autoSpaceDE w:val="0"/>
        <w:autoSpaceDN w:val="0"/>
        <w:adjustRightInd w:val="0"/>
        <w:snapToGrid w:val="0"/>
        <w:spacing w:line="480" w:lineRule="atLeast"/>
        <w:jc w:val="left"/>
        <w:rPr>
          <w:rFonts w:ascii="宋体" w:hAnsi="宋体" w:cs="宋体"/>
          <w:color w:val="auto"/>
          <w:szCs w:val="21"/>
        </w:rPr>
      </w:pPr>
    </w:p>
    <w:p>
      <w:pPr>
        <w:autoSpaceDE w:val="0"/>
        <w:autoSpaceDN w:val="0"/>
        <w:adjustRightInd w:val="0"/>
        <w:snapToGrid w:val="0"/>
        <w:spacing w:line="480" w:lineRule="atLeast"/>
        <w:jc w:val="left"/>
        <w:rPr>
          <w:rFonts w:ascii="宋体" w:hAnsi="宋体" w:cs="宋体"/>
          <w:color w:val="auto"/>
          <w:szCs w:val="21"/>
        </w:rPr>
      </w:pP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注：后附（1）投标回执；</w:t>
      </w:r>
    </w:p>
    <w:p>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（2）拟派驻本工程的项目管理班子成员必须是惠州市建筑业信用信息平台录入的对应岗位人员（提供相应网页截图）；</w:t>
      </w:r>
    </w:p>
    <w:p>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（3）项目负责人的注册建造师证书、建设行政主管部门颁发的安全生产考核合格证（B类）复印件；</w:t>
      </w:r>
    </w:p>
    <w:p>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（4）施工员、质量检查员提供相应的岗位证书，安全员提供建设行政主管部门颁发安全生产考核合格证（C类）复印件。</w:t>
      </w:r>
    </w:p>
    <w:p>
      <w:pPr>
        <w:pStyle w:val="5"/>
        <w:ind w:firstLine="0" w:firstLineChars="0"/>
        <w:jc w:val="center"/>
        <w:rPr>
          <w:b w:val="0"/>
          <w:color w:val="auto"/>
        </w:rPr>
      </w:pPr>
      <w:r>
        <w:rPr>
          <w:color w:val="auto"/>
          <w:sz w:val="20"/>
        </w:rPr>
        <w:br w:type="page"/>
      </w:r>
      <w:bookmarkStart w:id="2039" w:name="_Toc31533"/>
      <w:bookmarkStart w:id="2040" w:name="_Toc265953296"/>
      <w:bookmarkStart w:id="2041" w:name="_Toc247514302"/>
      <w:bookmarkStart w:id="2042" w:name="_Toc30700"/>
      <w:bookmarkStart w:id="2043" w:name="_Toc31243"/>
      <w:bookmarkStart w:id="2044" w:name="_Toc29881"/>
      <w:bookmarkStart w:id="2045" w:name="_Toc152045810"/>
      <w:bookmarkStart w:id="2046" w:name="_Toc144974878"/>
      <w:bookmarkStart w:id="2047" w:name="_Toc4078456"/>
      <w:bookmarkStart w:id="2048" w:name="_Toc202"/>
      <w:bookmarkStart w:id="2049" w:name="_Toc247527850"/>
      <w:bookmarkStart w:id="2050" w:name="_Toc28706"/>
      <w:bookmarkStart w:id="2051" w:name="_Toc124613055"/>
      <w:bookmarkStart w:id="2052" w:name="_Toc22372"/>
      <w:bookmarkStart w:id="2053" w:name="_Toc1702"/>
      <w:bookmarkStart w:id="2054" w:name="_Toc152042599"/>
      <w:r>
        <w:rPr>
          <w:rFonts w:hint="eastAsia"/>
          <w:color w:val="auto"/>
        </w:rPr>
        <w:t>（三）近年完成的类似项目情况表</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pPr>
        <w:spacing w:line="440" w:lineRule="exact"/>
        <w:jc w:val="center"/>
        <w:rPr>
          <w:rFonts w:ascii="宋体" w:hAnsi="宋体"/>
          <w:color w:val="auto"/>
          <w:sz w:val="23"/>
        </w:rPr>
      </w:pPr>
    </w:p>
    <w:tbl>
      <w:tblPr>
        <w:tblStyle w:val="46"/>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项目名称</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项目所在地</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发包人名称</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发包人地址</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发包人电话</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合同价格</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开工日期</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竣工日期</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承担的工作</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工程质量</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项目负责人</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技术负责人</w:t>
            </w:r>
          </w:p>
        </w:tc>
        <w:tc>
          <w:tcPr>
            <w:tcW w:w="6677" w:type="dxa"/>
          </w:tcPr>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项目描述</w:t>
            </w:r>
          </w:p>
        </w:tc>
        <w:tc>
          <w:tcPr>
            <w:tcW w:w="6677" w:type="dxa"/>
          </w:tcPr>
          <w:p>
            <w:pPr>
              <w:topLinePunct/>
              <w:spacing w:line="440" w:lineRule="exact"/>
              <w:rPr>
                <w:rFonts w:ascii="宋体" w:hAnsi="宋体"/>
                <w:color w:val="auto"/>
              </w:rPr>
            </w:pPr>
          </w:p>
          <w:p>
            <w:pPr>
              <w:topLinePunct/>
              <w:spacing w:line="440" w:lineRule="exact"/>
              <w:rPr>
                <w:rFonts w:ascii="宋体" w:hAnsi="宋体"/>
                <w:color w:val="auto"/>
              </w:rPr>
            </w:pPr>
          </w:p>
          <w:p>
            <w:pPr>
              <w:topLinePunct/>
              <w:spacing w:line="440" w:lineRule="exact"/>
              <w:rPr>
                <w:rFonts w:ascii="宋体" w:hAnsi="宋体"/>
                <w:color w:val="auto"/>
              </w:rPr>
            </w:pPr>
          </w:p>
          <w:p>
            <w:pPr>
              <w:topLinePunct/>
              <w:spacing w:line="440" w:lineRule="exact"/>
              <w:rPr>
                <w:rFonts w:ascii="宋体" w:hAnsi="宋体"/>
                <w:color w:val="auto"/>
              </w:rPr>
            </w:pPr>
          </w:p>
          <w:p>
            <w:pPr>
              <w:topLinePunct/>
              <w:spacing w:line="440" w:lineRule="exact"/>
              <w:rPr>
                <w:rFonts w:ascii="宋体" w:hAnsi="宋体"/>
                <w:color w:val="auto"/>
              </w:rPr>
            </w:pPr>
          </w:p>
          <w:p>
            <w:pPr>
              <w:topLinePunct/>
              <w:spacing w:line="440" w:lineRule="exact"/>
              <w:rPr>
                <w:rFonts w:ascii="宋体" w:hAnsi="宋体"/>
                <w:color w:val="auto"/>
              </w:rPr>
            </w:pPr>
          </w:p>
          <w:p>
            <w:pPr>
              <w:topLinePunct/>
              <w:spacing w:line="44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22" w:type="dxa"/>
            <w:vAlign w:val="center"/>
          </w:tcPr>
          <w:p>
            <w:pPr>
              <w:topLinePunct/>
              <w:spacing w:line="440" w:lineRule="exact"/>
              <w:jc w:val="center"/>
              <w:rPr>
                <w:rFonts w:ascii="宋体" w:hAnsi="宋体"/>
                <w:color w:val="auto"/>
              </w:rPr>
            </w:pPr>
            <w:r>
              <w:rPr>
                <w:rFonts w:hint="eastAsia" w:ascii="宋体" w:hAnsi="宋体"/>
                <w:color w:val="auto"/>
              </w:rPr>
              <w:t>备注</w:t>
            </w:r>
          </w:p>
        </w:tc>
        <w:tc>
          <w:tcPr>
            <w:tcW w:w="6677" w:type="dxa"/>
          </w:tcPr>
          <w:p>
            <w:pPr>
              <w:topLinePunct/>
              <w:spacing w:line="440" w:lineRule="exact"/>
              <w:rPr>
                <w:rFonts w:ascii="宋体" w:hAnsi="宋体"/>
                <w:color w:val="auto"/>
              </w:rPr>
            </w:pPr>
          </w:p>
        </w:tc>
      </w:tr>
    </w:tbl>
    <w:p>
      <w:pPr>
        <w:pStyle w:val="5"/>
        <w:ind w:firstLine="422"/>
        <w:jc w:val="center"/>
        <w:rPr>
          <w:rStyle w:val="59"/>
          <w:b/>
          <w:bCs/>
          <w:color w:val="auto"/>
        </w:rPr>
      </w:pPr>
      <w:r>
        <w:rPr>
          <w:rFonts w:hint="eastAsia"/>
          <w:color w:val="auto"/>
          <w:sz w:val="21"/>
        </w:rPr>
        <w:br w:type="page"/>
      </w:r>
      <w:bookmarkStart w:id="2055" w:name="_Toc4064"/>
      <w:bookmarkStart w:id="2056" w:name="_Toc2422"/>
      <w:bookmarkStart w:id="2057" w:name="_Toc152045813"/>
      <w:bookmarkStart w:id="2058" w:name="_Toc179632833"/>
      <w:bookmarkStart w:id="2059" w:name="_Toc152042602"/>
      <w:bookmarkStart w:id="2060" w:name="_Toc29607"/>
      <w:bookmarkStart w:id="2061" w:name="_Toc144974881"/>
      <w:bookmarkStart w:id="2062" w:name="_Toc26250"/>
      <w:bookmarkStart w:id="2063" w:name="_Toc4078458"/>
      <w:bookmarkStart w:id="2064" w:name="_Toc20997"/>
      <w:bookmarkStart w:id="2065" w:name="_Toc27069"/>
      <w:bookmarkStart w:id="2066" w:name="_Toc124613056"/>
      <w:bookmarkStart w:id="2067" w:name="_Toc24492"/>
      <w:bookmarkStart w:id="2068" w:name="_Toc7906"/>
      <w:r>
        <w:rPr>
          <w:rFonts w:hint="eastAsia"/>
          <w:color w:val="auto"/>
        </w:rPr>
        <w:t>（四）</w:t>
      </w:r>
      <w:bookmarkEnd w:id="2055"/>
      <w:bookmarkEnd w:id="2056"/>
      <w:bookmarkEnd w:id="2057"/>
      <w:bookmarkEnd w:id="2058"/>
      <w:bookmarkEnd w:id="2059"/>
      <w:bookmarkEnd w:id="2060"/>
      <w:bookmarkEnd w:id="2061"/>
      <w:bookmarkEnd w:id="2062"/>
      <w:bookmarkEnd w:id="2063"/>
      <w:bookmarkEnd w:id="2064"/>
      <w:bookmarkStart w:id="2069" w:name="_Toc31522"/>
      <w:bookmarkStart w:id="2070" w:name="_Toc13289"/>
      <w:bookmarkStart w:id="2071" w:name="_Toc4078459"/>
      <w:bookmarkStart w:id="2072" w:name="_Toc27040"/>
      <w:bookmarkStart w:id="2073" w:name="_Toc23074"/>
      <w:bookmarkStart w:id="2074" w:name="_Toc29534"/>
      <w:bookmarkStart w:id="2075" w:name="_Toc2530"/>
      <w:r>
        <w:rPr>
          <w:color w:val="auto"/>
        </w:rPr>
        <w:t>信用承诺书</w:t>
      </w:r>
      <w:bookmarkEnd w:id="2065"/>
      <w:bookmarkEnd w:id="2066"/>
      <w:bookmarkEnd w:id="2067"/>
      <w:bookmarkEnd w:id="2068"/>
      <w:bookmarkEnd w:id="2069"/>
      <w:bookmarkEnd w:id="2070"/>
      <w:bookmarkEnd w:id="2071"/>
      <w:bookmarkEnd w:id="2072"/>
      <w:bookmarkEnd w:id="2073"/>
      <w:bookmarkEnd w:id="2074"/>
    </w:p>
    <w:p>
      <w:pPr>
        <w:spacing w:line="360" w:lineRule="auto"/>
        <w:rPr>
          <w:rFonts w:ascii="宋体" w:hAnsi="宋体" w:cs="宋体"/>
          <w:b/>
          <w:bCs/>
          <w:color w:val="auto"/>
          <w:sz w:val="24"/>
        </w:rPr>
      </w:pPr>
      <w:bookmarkStart w:id="2076" w:name="_Toc8520"/>
      <w:r>
        <w:rPr>
          <w:rFonts w:hint="eastAsia" w:ascii="宋体" w:hAnsi="宋体" w:cs="宋体"/>
          <w:b/>
          <w:bCs/>
          <w:color w:val="auto"/>
          <w:szCs w:val="21"/>
        </w:rPr>
        <w:t>致：</w:t>
      </w:r>
      <w:bookmarkEnd w:id="2076"/>
      <w:r>
        <w:rPr>
          <w:rFonts w:hint="eastAsia" w:ascii="宋体" w:hAnsi="宋体" w:cs="宋体"/>
          <w:b/>
          <w:color w:val="auto"/>
          <w:szCs w:val="21"/>
          <w:u w:val="single"/>
        </w:rPr>
        <w:t xml:space="preserve">                        </w:t>
      </w:r>
      <w:r>
        <w:rPr>
          <w:rFonts w:hint="eastAsia" w:ascii="宋体" w:hAnsi="宋体" w:cs="宋体"/>
          <w:b/>
          <w:color w:val="auto"/>
          <w:szCs w:val="21"/>
        </w:rPr>
        <w:t>（招标人名称）：</w:t>
      </w:r>
    </w:p>
    <w:p>
      <w:pPr>
        <w:adjustRightInd w:val="0"/>
        <w:snapToGrid w:val="0"/>
        <w:spacing w:line="360" w:lineRule="auto"/>
        <w:ind w:firstLine="420" w:firstLineChars="200"/>
        <w:rPr>
          <w:rFonts w:ascii="宋体" w:hAnsi="宋体" w:cs="宋体"/>
          <w:color w:val="auto"/>
          <w:szCs w:val="21"/>
        </w:rPr>
      </w:pPr>
      <w:bookmarkStart w:id="2077" w:name="_Toc29084"/>
      <w:r>
        <w:rPr>
          <w:rFonts w:hint="eastAsia" w:ascii="宋体" w:hAnsi="宋体" w:cs="宋体"/>
          <w:color w:val="auto"/>
          <w:szCs w:val="21"/>
        </w:rPr>
        <w:t>我司郑重作出承诺，对参与</w:t>
      </w:r>
      <w:r>
        <w:rPr>
          <w:rFonts w:hint="eastAsia" w:ascii="宋体" w:hAnsi="宋体" w:cs="宋体"/>
          <w:color w:val="auto"/>
          <w:szCs w:val="21"/>
          <w:u w:val="single"/>
        </w:rPr>
        <w:t xml:space="preserve">                     （项目名称）</w:t>
      </w:r>
      <w:r>
        <w:rPr>
          <w:rFonts w:hint="eastAsia" w:ascii="宋体" w:hAnsi="宋体" w:cs="宋体"/>
          <w:color w:val="auto"/>
          <w:szCs w:val="21"/>
        </w:rPr>
        <w:t>投标活动的行为负责，保证所有投标资料真实有效，并严格按照《关于房建市政类施工监理项目推行信用承诺制优化招投标活动流程的通知》（惠市公易委办函〔2018〕6号）的规定执行，如有违反愿意接受相应处罚并公开。</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在此，我司也郑重承诺不存在下列情形：</w:t>
      </w:r>
      <w:bookmarkEnd w:id="2077"/>
    </w:p>
    <w:p>
      <w:pPr>
        <w:adjustRightInd w:val="0"/>
        <w:snapToGrid w:val="0"/>
        <w:spacing w:line="360" w:lineRule="auto"/>
        <w:ind w:firstLine="359" w:firstLineChars="171"/>
        <w:rPr>
          <w:rFonts w:ascii="宋体" w:hAnsi="宋体" w:cs="宋体"/>
          <w:color w:val="auto"/>
          <w:szCs w:val="21"/>
        </w:rPr>
      </w:pPr>
      <w:bookmarkStart w:id="2078" w:name="_Toc3872"/>
      <w:r>
        <w:rPr>
          <w:rFonts w:hint="eastAsia" w:ascii="宋体" w:hAnsi="宋体" w:cs="宋体"/>
          <w:color w:val="auto"/>
          <w:szCs w:val="21"/>
        </w:rPr>
        <w:t>（1）为招标人不具有独立法人资格的附属机构（单位）；</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 xml:space="preserve">（2）为本招标项目前期准备提供设计或咨询服务的； </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（3）为本招标项目的监理人；</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 xml:space="preserve">（4）为本招标项目的代建人； </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 xml:space="preserve">（5）为本招标项目提供招标代理服务的； </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（6）与本招标项目的监理人或代建人或招标代理机构同为一个法定代表人的；</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（7）与本招标项目的监理人或代建人或招标代理机构相互控股或参股的；</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（8）与本招标项目的监理人或代建人或招标代理机构相互任职或工作的；</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 xml:space="preserve">（9）被责令停业的； </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 xml:space="preserve">（10）被暂停或取消投标资格的； </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（11）财产被接管或冻结的；</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（12）在最近三年内有骗取中标或严重违约或重大工程质量问题的；</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13）在中国执行信息公开网（http://zxgk.court.gov.cn/shixin/）被列入失信被执行人、信用中国网站（www.creditchina.gov.cn）被列入重大税收违法失信主体以及在国家企业信用信息公示系统（http://www.gsxt.gov.cn/index.html）被列入严重违法失信名单（黑名单）的；</w:t>
      </w:r>
    </w:p>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（14）法律法规或投标须知前附表规定的其他情形。</w:t>
      </w:r>
    </w:p>
    <w:bookmarkEnd w:id="2078"/>
    <w:p>
      <w:pPr>
        <w:adjustRightInd w:val="0"/>
        <w:snapToGrid w:val="0"/>
        <w:spacing w:line="360" w:lineRule="auto"/>
        <w:ind w:firstLine="359" w:firstLineChars="171"/>
        <w:rPr>
          <w:rFonts w:ascii="宋体" w:hAnsi="宋体" w:cs="宋体"/>
          <w:color w:val="auto"/>
          <w:szCs w:val="21"/>
        </w:rPr>
      </w:pPr>
      <w:r>
        <w:rPr>
          <w:rFonts w:hint="eastAsia" w:ascii="宋体" w:hAnsi="宋体" w:cs="宋体"/>
          <w:color w:val="auto"/>
          <w:szCs w:val="21"/>
        </w:rPr>
        <w:t>在本项目的投标过程中，我司将自觉遵守招标投标相关法律法规，所提交的投标文件及有关资料内容是真实有效的，并声明所递交的书面投标文件与电子投标文件一致，不提供虚假材料、不参与围标串标、不以其他违法违规行为骗取中标，一旦违背上述承诺，我司愿无条件接受招标人、行政主管部门做出的取消中标资格、解除合同等处理。</w:t>
      </w:r>
    </w:p>
    <w:p>
      <w:pPr>
        <w:pStyle w:val="2"/>
        <w:adjustRightInd w:val="0"/>
        <w:snapToGrid w:val="0"/>
        <w:spacing w:line="360" w:lineRule="auto"/>
        <w:rPr>
          <w:rFonts w:ascii="宋体" w:hAnsi="宋体" w:cs="宋体"/>
          <w:color w:val="auto"/>
          <w:szCs w:val="21"/>
        </w:rPr>
      </w:pPr>
      <w:r>
        <w:rPr>
          <w:rFonts w:hint="eastAsia" w:ascii="宋体" w:hAnsi="宋体" w:cs="宋体"/>
          <w:color w:val="auto"/>
          <w:szCs w:val="21"/>
        </w:rPr>
        <w:t>我司承诺在本项目招投标期限（是指我司</w:t>
      </w:r>
      <w:r>
        <w:rPr>
          <w:rFonts w:hint="eastAsia" w:ascii="宋体" w:hAnsi="宋体" w:cs="宋体"/>
          <w:bCs/>
          <w:color w:val="auto"/>
          <w:szCs w:val="21"/>
        </w:rPr>
        <w:t>参与项目投标之日起至投标截止前</w:t>
      </w:r>
      <w:r>
        <w:rPr>
          <w:rFonts w:hint="eastAsia" w:ascii="宋体" w:hAnsi="宋体" w:cs="宋体"/>
          <w:color w:val="auto"/>
          <w:szCs w:val="21"/>
        </w:rPr>
        <w:t>）不存在安全生产许可证失效或被暂扣或伪造虚假证件的情形，若我司有虚假承诺的，我司愿无条件接受招标人、行政主管部门做出的取消中标候选人资格、并接受被列入不诚信记录和相关处罚等。</w:t>
      </w:r>
    </w:p>
    <w:p>
      <w:pPr>
        <w:adjustRightInd w:val="0"/>
        <w:snapToGrid w:val="0"/>
        <w:spacing w:line="360" w:lineRule="auto"/>
        <w:ind w:firstLine="420" w:firstLineChars="200"/>
        <w:rPr>
          <w:rFonts w:ascii="宋体" w:hAnsi="宋体" w:cs="宋体"/>
          <w:color w:val="auto"/>
          <w:sz w:val="24"/>
        </w:rPr>
      </w:pPr>
      <w:r>
        <w:rPr>
          <w:rFonts w:hint="eastAsia" w:ascii="宋体" w:hAnsi="宋体" w:cs="宋体"/>
          <w:color w:val="auto"/>
          <w:szCs w:val="21"/>
        </w:rPr>
        <w:t>特此声明！</w:t>
      </w:r>
      <w:bookmarkStart w:id="2079" w:name="_Toc14125"/>
    </w:p>
    <w:bookmarkEnd w:id="2079"/>
    <w:p>
      <w:pPr>
        <w:spacing w:line="360" w:lineRule="auto"/>
        <w:ind w:firstLine="5040" w:firstLineChars="2400"/>
        <w:rPr>
          <w:rFonts w:ascii="宋体" w:hAnsi="宋体"/>
          <w:color w:val="auto"/>
        </w:rPr>
      </w:pP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pStyle w:val="4"/>
        <w:ind w:firstLine="0" w:firstLineChars="0"/>
        <w:jc w:val="center"/>
        <w:rPr>
          <w:color w:val="auto"/>
        </w:rPr>
      </w:pPr>
      <w:r>
        <w:rPr>
          <w:color w:val="auto"/>
        </w:rPr>
        <w:br w:type="page"/>
      </w:r>
      <w:bookmarkStart w:id="2080" w:name="page90"/>
      <w:bookmarkEnd w:id="2080"/>
      <w:bookmarkStart w:id="2081" w:name="_Toc9405"/>
      <w:bookmarkStart w:id="2082" w:name="_Toc29731"/>
      <w:bookmarkStart w:id="2083" w:name="_Toc8923"/>
      <w:bookmarkStart w:id="2084" w:name="_Toc17387"/>
      <w:bookmarkStart w:id="2085" w:name="_Toc20858"/>
      <w:bookmarkStart w:id="2086" w:name="_Toc124613057"/>
      <w:bookmarkStart w:id="2087" w:name="_Toc21913"/>
      <w:bookmarkStart w:id="2088" w:name="_Toc24081"/>
      <w:bookmarkStart w:id="2089" w:name="_Toc4078460"/>
      <w:r>
        <w:rPr>
          <w:rFonts w:hint="eastAsia"/>
          <w:color w:val="auto"/>
        </w:rPr>
        <w:t>六、其他资料</w:t>
      </w:r>
      <w:bookmarkEnd w:id="2075"/>
      <w:bookmarkEnd w:id="2081"/>
      <w:bookmarkEnd w:id="2082"/>
      <w:bookmarkEnd w:id="2083"/>
      <w:bookmarkEnd w:id="2084"/>
      <w:bookmarkEnd w:id="2085"/>
      <w:bookmarkEnd w:id="2086"/>
      <w:bookmarkEnd w:id="2087"/>
      <w:bookmarkEnd w:id="2088"/>
      <w:bookmarkEnd w:id="2089"/>
    </w:p>
    <w:p>
      <w:pPr>
        <w:spacing w:line="360" w:lineRule="auto"/>
        <w:jc w:val="center"/>
        <w:rPr>
          <w:rFonts w:ascii="宋体" w:hAnsi="宋体"/>
          <w:color w:val="auto"/>
          <w:sz w:val="24"/>
        </w:rPr>
      </w:pPr>
      <w:bookmarkStart w:id="2090" w:name="_Hlk124765672"/>
      <w:r>
        <w:rPr>
          <w:rFonts w:hint="eastAsia" w:ascii="宋体" w:hAnsi="宋体"/>
          <w:color w:val="auto"/>
          <w:sz w:val="24"/>
        </w:rPr>
        <w:t>投标人可在此提供与本次投标、评标相关的其他资料。</w:t>
      </w:r>
      <w:bookmarkEnd w:id="2090"/>
    </w:p>
    <w:p>
      <w:pPr>
        <w:pStyle w:val="4"/>
        <w:ind w:firstLine="0" w:firstLineChars="0"/>
        <w:jc w:val="center"/>
        <w:rPr>
          <w:color w:val="auto"/>
        </w:rPr>
      </w:pPr>
      <w:r>
        <w:rPr>
          <w:color w:val="auto"/>
        </w:rPr>
        <w:br w:type="page"/>
      </w:r>
      <w:bookmarkStart w:id="2091" w:name="_Toc124613058"/>
      <w:r>
        <w:rPr>
          <w:rFonts w:hint="eastAsia"/>
          <w:color w:val="auto"/>
        </w:rPr>
        <w:t>七、定标因素表</w:t>
      </w:r>
      <w:bookmarkEnd w:id="2091"/>
    </w:p>
    <w:p>
      <w:pPr>
        <w:jc w:val="center"/>
        <w:rPr>
          <w:rFonts w:ascii="宋体" w:hAnsi="宋体"/>
          <w:bCs/>
          <w:color w:val="auto"/>
          <w:sz w:val="28"/>
          <w:szCs w:val="28"/>
        </w:rPr>
      </w:pPr>
    </w:p>
    <w:p>
      <w:pPr>
        <w:pStyle w:val="45"/>
        <w:ind w:left="0" w:leftChars="0" w:firstLine="0" w:firstLineChars="0"/>
        <w:rPr>
          <w:rFonts w:ascii="宋体" w:hAnsi="宋体"/>
          <w:color w:val="auto"/>
        </w:rPr>
      </w:pPr>
      <w:r>
        <w:rPr>
          <w:rFonts w:hint="eastAsia" w:ascii="宋体" w:hAnsi="宋体" w:cs="宋体"/>
          <w:b/>
          <w:bCs/>
          <w:color w:val="auto"/>
          <w:sz w:val="24"/>
        </w:rPr>
        <w:t>投标单位名称：</w:t>
      </w:r>
    </w:p>
    <w:tbl>
      <w:tblPr>
        <w:tblStyle w:val="46"/>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60"/>
        <w:gridCol w:w="2003"/>
        <w:gridCol w:w="2767"/>
        <w:gridCol w:w="146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Align w:val="center"/>
          </w:tcPr>
          <w:p>
            <w:pPr>
              <w:adjustRightInd w:val="0"/>
              <w:snapToGrid w:val="0"/>
              <w:jc w:val="center"/>
              <w:rPr>
                <w:rFonts w:ascii="宋体" w:hAnsi="宋体" w:cs="宋体"/>
                <w:b/>
                <w:bCs/>
                <w:color w:val="auto"/>
                <w:sz w:val="24"/>
              </w:rPr>
            </w:pPr>
            <w:r>
              <w:rPr>
                <w:rFonts w:hint="eastAsia" w:ascii="宋体" w:hAnsi="宋体" w:cs="宋体"/>
                <w:b/>
                <w:bCs/>
                <w:color w:val="auto"/>
                <w:sz w:val="24"/>
              </w:rPr>
              <w:t>序号</w:t>
            </w:r>
          </w:p>
        </w:tc>
        <w:tc>
          <w:tcPr>
            <w:tcW w:w="3263" w:type="dxa"/>
            <w:gridSpan w:val="2"/>
            <w:vAlign w:val="center"/>
          </w:tcPr>
          <w:p>
            <w:pPr>
              <w:adjustRightInd w:val="0"/>
              <w:snapToGrid w:val="0"/>
              <w:jc w:val="center"/>
              <w:rPr>
                <w:rFonts w:ascii="宋体" w:hAnsi="宋体" w:cs="宋体"/>
                <w:b/>
                <w:bCs/>
                <w:color w:val="auto"/>
                <w:sz w:val="24"/>
              </w:rPr>
            </w:pPr>
            <w:r>
              <w:rPr>
                <w:rFonts w:hint="eastAsia" w:ascii="宋体" w:hAnsi="宋体" w:cs="宋体"/>
                <w:b/>
                <w:bCs/>
                <w:color w:val="auto"/>
                <w:sz w:val="24"/>
              </w:rPr>
              <w:t>定标因素</w:t>
            </w:r>
          </w:p>
        </w:tc>
        <w:tc>
          <w:tcPr>
            <w:tcW w:w="2767" w:type="dxa"/>
            <w:vAlign w:val="center"/>
          </w:tcPr>
          <w:p>
            <w:pPr>
              <w:adjustRightInd w:val="0"/>
              <w:snapToGrid w:val="0"/>
              <w:jc w:val="center"/>
              <w:rPr>
                <w:rFonts w:ascii="宋体" w:hAnsi="宋体" w:cs="宋体"/>
                <w:b/>
                <w:bCs/>
                <w:color w:val="auto"/>
                <w:sz w:val="24"/>
              </w:rPr>
            </w:pPr>
            <w:r>
              <w:rPr>
                <w:rFonts w:hint="eastAsia" w:ascii="宋体" w:hAnsi="宋体" w:cs="宋体"/>
                <w:b/>
                <w:bCs/>
                <w:color w:val="auto"/>
                <w:sz w:val="24"/>
              </w:rPr>
              <w:t>投标人情况</w:t>
            </w:r>
          </w:p>
        </w:tc>
        <w:tc>
          <w:tcPr>
            <w:tcW w:w="1464" w:type="dxa"/>
            <w:vAlign w:val="center"/>
          </w:tcPr>
          <w:p>
            <w:pPr>
              <w:adjustRightInd w:val="0"/>
              <w:snapToGrid w:val="0"/>
              <w:jc w:val="center"/>
              <w:rPr>
                <w:rFonts w:ascii="宋体" w:hAnsi="宋体" w:cs="宋体"/>
                <w:b/>
                <w:bCs/>
                <w:color w:val="auto"/>
                <w:sz w:val="24"/>
              </w:rPr>
            </w:pPr>
            <w:r>
              <w:rPr>
                <w:rFonts w:hint="eastAsia" w:ascii="宋体" w:hAnsi="宋体" w:cs="宋体"/>
                <w:b/>
                <w:bCs/>
                <w:color w:val="auto"/>
                <w:sz w:val="24"/>
              </w:rPr>
              <w:t>证明材料所在页码</w:t>
            </w:r>
          </w:p>
        </w:tc>
        <w:tc>
          <w:tcPr>
            <w:tcW w:w="1050" w:type="dxa"/>
            <w:vAlign w:val="center"/>
          </w:tcPr>
          <w:p>
            <w:pPr>
              <w:adjustRightInd w:val="0"/>
              <w:snapToGrid w:val="0"/>
              <w:jc w:val="center"/>
              <w:rPr>
                <w:rFonts w:ascii="宋体" w:hAnsi="宋体" w:cs="宋体"/>
                <w:b/>
                <w:bCs/>
                <w:color w:val="auto"/>
                <w:sz w:val="24"/>
              </w:rPr>
            </w:pPr>
            <w:r>
              <w:rPr>
                <w:rFonts w:hint="eastAsia" w:ascii="宋体" w:hAnsi="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1</w:t>
            </w:r>
          </w:p>
        </w:tc>
        <w:tc>
          <w:tcPr>
            <w:tcW w:w="1260"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企业实力</w:t>
            </w: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资质等级</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企业规模</w:t>
            </w:r>
          </w:p>
        </w:tc>
        <w:tc>
          <w:tcPr>
            <w:tcW w:w="2767" w:type="dxa"/>
            <w:vAlign w:val="center"/>
          </w:tcPr>
          <w:p>
            <w:pPr>
              <w:adjustRightInd w:val="0"/>
              <w:snapToGrid w:val="0"/>
              <w:jc w:val="left"/>
              <w:rPr>
                <w:rFonts w:ascii="宋体" w:hAnsi="宋体" w:cs="宋体"/>
                <w:strike/>
                <w:color w:val="auto"/>
                <w:sz w:val="24"/>
              </w:rPr>
            </w:pPr>
            <w:r>
              <w:rPr>
                <w:rFonts w:hint="eastAsia" w:ascii="宋体" w:hAnsi="宋体" w:cs="宋体"/>
                <w:color w:val="auto"/>
                <w:sz w:val="24"/>
              </w:rPr>
              <w:t>注册资本：</w:t>
            </w:r>
            <w:r>
              <w:rPr>
                <w:rFonts w:hint="eastAsia" w:ascii="宋体" w:hAnsi="宋体" w:cs="宋体"/>
                <w:color w:val="auto"/>
                <w:sz w:val="24"/>
                <w:u w:val="single"/>
              </w:rPr>
              <w:t xml:space="preserve">   </w:t>
            </w:r>
            <w:r>
              <w:rPr>
                <w:rFonts w:hint="eastAsia" w:ascii="宋体" w:hAnsi="宋体" w:cs="宋体"/>
                <w:color w:val="auto"/>
                <w:sz w:val="24"/>
              </w:rPr>
              <w:t>万元；</w:t>
            </w: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行业排名（如有）</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pStyle w:val="2"/>
              <w:adjustRightInd w:val="0"/>
              <w:snapToGrid w:val="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pStyle w:val="2"/>
              <w:adjustRightInd w:val="0"/>
              <w:snapToGrid w:val="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2</w:t>
            </w:r>
          </w:p>
        </w:tc>
        <w:tc>
          <w:tcPr>
            <w:tcW w:w="1260"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价格因素</w:t>
            </w: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投标总价（元）</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投标下浮率（％）</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3</w:t>
            </w:r>
          </w:p>
        </w:tc>
        <w:tc>
          <w:tcPr>
            <w:tcW w:w="1260"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企业信誉</w:t>
            </w:r>
          </w:p>
        </w:tc>
        <w:tc>
          <w:tcPr>
            <w:tcW w:w="2003" w:type="dxa"/>
            <w:vAlign w:val="center"/>
          </w:tcPr>
          <w:p>
            <w:pPr>
              <w:adjustRightInd w:val="0"/>
              <w:snapToGrid w:val="0"/>
              <w:rPr>
                <w:rFonts w:ascii="宋体" w:hAnsi="宋体" w:cs="宋体"/>
                <w:color w:val="auto"/>
                <w:sz w:val="24"/>
              </w:rPr>
            </w:pPr>
            <w:r>
              <w:rPr>
                <w:rFonts w:hint="eastAsia" w:ascii="宋体" w:hAnsi="宋体" w:cs="宋体"/>
                <w:color w:val="auto"/>
                <w:sz w:val="24"/>
              </w:rPr>
              <w:t>包括建设行政主管部门作出的各种处罚和不良行为记录；建设单位对其的不良行为记录、履约评价不合格记录以及其他失信记录等</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4</w:t>
            </w:r>
          </w:p>
        </w:tc>
        <w:tc>
          <w:tcPr>
            <w:tcW w:w="1260" w:type="dxa"/>
            <w:vMerge w:val="restart"/>
            <w:vAlign w:val="center"/>
          </w:tcPr>
          <w:p>
            <w:pPr>
              <w:adjustRightInd w:val="0"/>
              <w:snapToGrid w:val="0"/>
              <w:jc w:val="center"/>
              <w:rPr>
                <w:rFonts w:ascii="宋体" w:hAnsi="宋体" w:cs="宋体"/>
                <w:color w:val="auto"/>
                <w:sz w:val="24"/>
              </w:rPr>
            </w:pPr>
            <w:r>
              <w:rPr>
                <w:rFonts w:hint="eastAsia" w:ascii="宋体" w:hAnsi="宋体" w:cs="宋体"/>
                <w:color w:val="auto"/>
                <w:sz w:val="24"/>
              </w:rPr>
              <w:t>拟派团队管理能力与水平</w:t>
            </w: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项目负责人</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项目技术负责人</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Merge w:val="continue"/>
            <w:vAlign w:val="center"/>
          </w:tcPr>
          <w:p>
            <w:pPr>
              <w:adjustRightInd w:val="0"/>
              <w:snapToGrid w:val="0"/>
              <w:jc w:val="center"/>
              <w:rPr>
                <w:rFonts w:ascii="宋体" w:hAnsi="宋体" w:cs="宋体"/>
                <w:color w:val="auto"/>
                <w:sz w:val="24"/>
              </w:rPr>
            </w:pPr>
            <w:bookmarkStart w:id="2092" w:name="_Toc31348"/>
            <w:bookmarkStart w:id="2093" w:name="_Toc29009"/>
            <w:bookmarkStart w:id="2094" w:name="_Toc18195"/>
          </w:p>
        </w:tc>
        <w:tc>
          <w:tcPr>
            <w:tcW w:w="1260" w:type="dxa"/>
            <w:vMerge w:val="continue"/>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5</w:t>
            </w:r>
          </w:p>
        </w:tc>
        <w:tc>
          <w:tcPr>
            <w:tcW w:w="1260"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科技创新能力</w:t>
            </w: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6</w:t>
            </w:r>
          </w:p>
        </w:tc>
        <w:tc>
          <w:tcPr>
            <w:tcW w:w="1260"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技术方案</w:t>
            </w: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7</w:t>
            </w:r>
          </w:p>
        </w:tc>
        <w:tc>
          <w:tcPr>
            <w:tcW w:w="1260"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服务</w:t>
            </w: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8</w:t>
            </w:r>
          </w:p>
        </w:tc>
        <w:tc>
          <w:tcPr>
            <w:tcW w:w="1260"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履约评价</w:t>
            </w:r>
          </w:p>
        </w:tc>
        <w:tc>
          <w:tcPr>
            <w:tcW w:w="2003"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vAlign w:val="center"/>
          </w:tcPr>
          <w:p>
            <w:pPr>
              <w:adjustRightInd w:val="0"/>
              <w:snapToGrid w:val="0"/>
              <w:jc w:val="center"/>
              <w:rPr>
                <w:rFonts w:ascii="宋体" w:hAnsi="宋体" w:cs="宋体"/>
                <w:color w:val="auto"/>
                <w:sz w:val="24"/>
              </w:rPr>
            </w:pPr>
            <w:r>
              <w:rPr>
                <w:rFonts w:ascii="宋体" w:hAnsi="宋体" w:cs="宋体"/>
                <w:color w:val="auto"/>
                <w:sz w:val="24"/>
              </w:rPr>
              <w:t>……</w:t>
            </w:r>
          </w:p>
        </w:tc>
        <w:tc>
          <w:tcPr>
            <w:tcW w:w="1260" w:type="dxa"/>
            <w:vAlign w:val="center"/>
          </w:tcPr>
          <w:p>
            <w:pPr>
              <w:adjustRightInd w:val="0"/>
              <w:snapToGrid w:val="0"/>
              <w:jc w:val="center"/>
              <w:rPr>
                <w:rFonts w:ascii="宋体" w:hAnsi="宋体" w:cs="宋体"/>
                <w:color w:val="auto"/>
                <w:sz w:val="24"/>
              </w:rPr>
            </w:pPr>
          </w:p>
        </w:tc>
        <w:tc>
          <w:tcPr>
            <w:tcW w:w="2003" w:type="dxa"/>
            <w:vAlign w:val="center"/>
          </w:tcPr>
          <w:p>
            <w:pPr>
              <w:adjustRightInd w:val="0"/>
              <w:snapToGrid w:val="0"/>
              <w:jc w:val="center"/>
              <w:rPr>
                <w:rFonts w:ascii="宋体" w:hAnsi="宋体" w:cs="宋体"/>
                <w:color w:val="auto"/>
                <w:sz w:val="24"/>
              </w:rPr>
            </w:pPr>
          </w:p>
        </w:tc>
        <w:tc>
          <w:tcPr>
            <w:tcW w:w="2767" w:type="dxa"/>
            <w:vAlign w:val="center"/>
          </w:tcPr>
          <w:p>
            <w:pPr>
              <w:adjustRightInd w:val="0"/>
              <w:snapToGrid w:val="0"/>
              <w:jc w:val="left"/>
              <w:rPr>
                <w:rFonts w:ascii="宋体" w:hAnsi="宋体" w:cs="宋体"/>
                <w:color w:val="auto"/>
                <w:sz w:val="24"/>
              </w:rPr>
            </w:pPr>
          </w:p>
        </w:tc>
        <w:tc>
          <w:tcPr>
            <w:tcW w:w="1464" w:type="dxa"/>
          </w:tcPr>
          <w:p>
            <w:pPr>
              <w:adjustRightInd w:val="0"/>
              <w:snapToGrid w:val="0"/>
              <w:jc w:val="center"/>
              <w:rPr>
                <w:rFonts w:ascii="宋体" w:hAnsi="宋体" w:cs="宋体"/>
                <w:color w:val="auto"/>
                <w:sz w:val="24"/>
              </w:rPr>
            </w:pPr>
          </w:p>
        </w:tc>
        <w:tc>
          <w:tcPr>
            <w:tcW w:w="1050" w:type="dxa"/>
            <w:vAlign w:val="center"/>
          </w:tcPr>
          <w:p>
            <w:pPr>
              <w:adjustRightInd w:val="0"/>
              <w:snapToGrid w:val="0"/>
              <w:jc w:val="center"/>
              <w:rPr>
                <w:rFonts w:ascii="宋体" w:hAnsi="宋体" w:cs="宋体"/>
                <w:color w:val="auto"/>
                <w:sz w:val="24"/>
              </w:rPr>
            </w:pPr>
          </w:p>
        </w:tc>
      </w:tr>
    </w:tbl>
    <w:p>
      <w:pPr>
        <w:rPr>
          <w:rFonts w:ascii="宋体" w:hAnsi="宋体"/>
          <w:color w:val="auto"/>
        </w:rPr>
      </w:pPr>
      <w:r>
        <w:rPr>
          <w:rFonts w:hint="eastAsia" w:ascii="宋体" w:hAnsi="宋体"/>
          <w:color w:val="auto"/>
        </w:rPr>
        <w:t>备注：</w:t>
      </w:r>
    </w:p>
    <w:p>
      <w:pPr>
        <w:rPr>
          <w:rFonts w:ascii="宋体" w:hAnsi="宋体"/>
          <w:color w:val="auto"/>
        </w:rPr>
      </w:pPr>
      <w:r>
        <w:rPr>
          <w:rFonts w:hint="eastAsia" w:ascii="宋体" w:hAnsi="宋体"/>
          <w:color w:val="auto"/>
        </w:rPr>
        <w:t>1、招标人可根据项目情况和实际需要选择定标因素。</w:t>
      </w:r>
    </w:p>
    <w:p>
      <w:pPr>
        <w:rPr>
          <w:rFonts w:ascii="宋体" w:hAnsi="宋体"/>
          <w:color w:val="auto"/>
        </w:rPr>
      </w:pPr>
      <w:r>
        <w:rPr>
          <w:rFonts w:hint="eastAsia" w:ascii="宋体" w:hAnsi="宋体"/>
          <w:color w:val="auto"/>
        </w:rPr>
        <w:t>2、投标人按要求填写定标因素表</w:t>
      </w:r>
      <w:bookmarkEnd w:id="2092"/>
      <w:r>
        <w:rPr>
          <w:rFonts w:hint="eastAsia" w:ascii="宋体" w:hAnsi="宋体"/>
          <w:color w:val="auto"/>
        </w:rPr>
        <w:t>。</w:t>
      </w:r>
      <w:bookmarkEnd w:id="2093"/>
      <w:bookmarkEnd w:id="2094"/>
    </w:p>
    <w:p>
      <w:pPr>
        <w:widowControl/>
        <w:jc w:val="left"/>
        <w:rPr>
          <w:rFonts w:ascii="宋体" w:hAnsi="宋体"/>
          <w:color w:val="auto"/>
          <w:sz w:val="20"/>
          <w:szCs w:val="20"/>
        </w:rPr>
      </w:pPr>
      <w:r>
        <w:rPr>
          <w:rFonts w:ascii="宋体" w:hAnsi="宋体"/>
          <w:color w:val="auto"/>
          <w:sz w:val="20"/>
          <w:szCs w:val="20"/>
        </w:rPr>
        <w:br w:type="page"/>
      </w:r>
    </w:p>
    <w:p>
      <w:pPr>
        <w:spacing w:line="360" w:lineRule="auto"/>
        <w:ind w:firstLine="400" w:firstLineChars="200"/>
        <w:jc w:val="right"/>
        <w:rPr>
          <w:rFonts w:ascii="宋体" w:hAnsi="宋体"/>
          <w:color w:val="auto"/>
          <w:sz w:val="20"/>
        </w:rPr>
      </w:pPr>
    </w:p>
    <w:p>
      <w:pPr>
        <w:spacing w:line="360" w:lineRule="auto"/>
        <w:rPr>
          <w:rFonts w:ascii="宋体" w:hAnsi="宋体"/>
          <w:color w:val="auto"/>
          <w:sz w:val="20"/>
        </w:rPr>
      </w:pPr>
    </w:p>
    <w:p>
      <w:pPr>
        <w:spacing w:line="360" w:lineRule="auto"/>
        <w:jc w:val="center"/>
        <w:rPr>
          <w:rFonts w:ascii="宋体" w:hAnsi="宋体"/>
          <w:color w:val="auto"/>
          <w:sz w:val="36"/>
        </w:rPr>
      </w:pPr>
      <w:r>
        <w:rPr>
          <w:rFonts w:ascii="宋体" w:hAnsi="宋体"/>
          <w:color w:val="auto"/>
          <w:sz w:val="36"/>
          <w:u w:val="single"/>
        </w:rPr>
        <w:t xml:space="preserve">                </w:t>
      </w:r>
      <w:r>
        <w:rPr>
          <w:rFonts w:hint="eastAsia" w:ascii="宋体" w:hAnsi="宋体"/>
          <w:color w:val="auto"/>
          <w:sz w:val="36"/>
        </w:rPr>
        <w:t>（项目名称）</w:t>
      </w:r>
      <w:r>
        <w:rPr>
          <w:rFonts w:hint="eastAsia" w:ascii="宋体" w:hAnsi="宋体"/>
          <w:color w:val="auto"/>
          <w:sz w:val="36"/>
          <w:szCs w:val="36"/>
        </w:rPr>
        <w:t>施工招标</w:t>
      </w:r>
    </w:p>
    <w:p>
      <w:pPr>
        <w:spacing w:line="360" w:lineRule="auto"/>
        <w:jc w:val="center"/>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20"/>
        </w:rPr>
      </w:pPr>
    </w:p>
    <w:p>
      <w:pPr>
        <w:spacing w:line="360" w:lineRule="auto"/>
        <w:rPr>
          <w:rFonts w:ascii="宋体" w:hAnsi="宋体"/>
          <w:color w:val="auto"/>
          <w:sz w:val="20"/>
        </w:rPr>
      </w:pPr>
    </w:p>
    <w:p>
      <w:pPr>
        <w:spacing w:line="360" w:lineRule="auto"/>
        <w:jc w:val="center"/>
        <w:rPr>
          <w:rFonts w:ascii="宋体" w:hAnsi="宋体"/>
          <w:color w:val="auto"/>
          <w:sz w:val="84"/>
        </w:rPr>
      </w:pPr>
      <w:r>
        <w:rPr>
          <w:rFonts w:hint="eastAsia" w:ascii="宋体" w:hAnsi="宋体"/>
          <w:color w:val="auto"/>
          <w:sz w:val="84"/>
        </w:rPr>
        <w:t>投</w:t>
      </w:r>
      <w:r>
        <w:rPr>
          <w:rFonts w:ascii="宋体" w:hAnsi="宋体"/>
          <w:color w:val="auto"/>
          <w:sz w:val="84"/>
        </w:rPr>
        <w:t xml:space="preserve"> </w:t>
      </w:r>
      <w:r>
        <w:rPr>
          <w:rFonts w:hint="eastAsia" w:ascii="宋体" w:hAnsi="宋体"/>
          <w:color w:val="auto"/>
          <w:sz w:val="84"/>
        </w:rPr>
        <w:t>标</w:t>
      </w:r>
      <w:r>
        <w:rPr>
          <w:rFonts w:ascii="宋体" w:hAnsi="宋体"/>
          <w:color w:val="auto"/>
          <w:sz w:val="84"/>
        </w:rPr>
        <w:t xml:space="preserve"> </w:t>
      </w:r>
      <w:r>
        <w:rPr>
          <w:rFonts w:hint="eastAsia" w:ascii="宋体" w:hAnsi="宋体"/>
          <w:color w:val="auto"/>
          <w:sz w:val="84"/>
        </w:rPr>
        <w:t>文</w:t>
      </w:r>
      <w:r>
        <w:rPr>
          <w:rFonts w:ascii="宋体" w:hAnsi="宋体"/>
          <w:color w:val="auto"/>
          <w:sz w:val="84"/>
        </w:rPr>
        <w:t xml:space="preserve"> </w:t>
      </w:r>
      <w:r>
        <w:rPr>
          <w:rFonts w:hint="eastAsia" w:ascii="宋体" w:hAnsi="宋体"/>
          <w:color w:val="auto"/>
          <w:sz w:val="84"/>
        </w:rPr>
        <w:t>件</w:t>
      </w:r>
    </w:p>
    <w:p>
      <w:pPr>
        <w:spacing w:line="360" w:lineRule="auto"/>
        <w:jc w:val="center"/>
        <w:outlineLvl w:val="1"/>
        <w:rPr>
          <w:rFonts w:ascii="宋体" w:hAnsi="宋体"/>
          <w:b/>
          <w:color w:val="auto"/>
          <w:sz w:val="32"/>
        </w:rPr>
      </w:pPr>
      <w:bookmarkStart w:id="2095" w:name="_Toc13338"/>
      <w:bookmarkStart w:id="2096" w:name="_Toc124613059"/>
      <w:bookmarkStart w:id="2097" w:name="_Toc31487"/>
      <w:r>
        <w:rPr>
          <w:rFonts w:hint="eastAsia" w:ascii="宋体" w:hAnsi="宋体"/>
          <w:b/>
          <w:color w:val="auto"/>
          <w:sz w:val="32"/>
        </w:rPr>
        <w:t>（第二册</w:t>
      </w:r>
      <w:r>
        <w:rPr>
          <w:rFonts w:ascii="宋体" w:hAnsi="宋体"/>
          <w:b/>
          <w:color w:val="auto"/>
          <w:sz w:val="32"/>
        </w:rPr>
        <w:t xml:space="preserve"> </w:t>
      </w:r>
      <w:r>
        <w:rPr>
          <w:rFonts w:hint="eastAsia" w:ascii="宋体" w:hAnsi="宋体"/>
          <w:b/>
          <w:color w:val="auto"/>
          <w:sz w:val="32"/>
        </w:rPr>
        <w:t>技术投标文件）</w:t>
      </w:r>
      <w:bookmarkEnd w:id="2095"/>
      <w:bookmarkEnd w:id="2096"/>
      <w:bookmarkEnd w:id="2097"/>
    </w:p>
    <w:p>
      <w:pPr>
        <w:spacing w:line="360" w:lineRule="auto"/>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pStyle w:val="2"/>
        <w:ind w:firstLine="560"/>
        <w:rPr>
          <w:rFonts w:ascii="宋体" w:hAnsi="宋体"/>
          <w:color w:val="auto"/>
          <w:sz w:val="28"/>
        </w:rPr>
      </w:pPr>
    </w:p>
    <w:p>
      <w:pPr>
        <w:spacing w:line="360" w:lineRule="auto"/>
        <w:rPr>
          <w:rFonts w:ascii="宋体" w:hAnsi="宋体"/>
          <w:color w:val="auto"/>
          <w:sz w:val="28"/>
        </w:rPr>
      </w:pPr>
    </w:p>
    <w:p>
      <w:pPr>
        <w:spacing w:line="360" w:lineRule="auto"/>
        <w:ind w:firstLine="1120" w:firstLineChars="400"/>
        <w:jc w:val="left"/>
        <w:rPr>
          <w:rFonts w:ascii="宋体" w:hAnsi="宋体"/>
          <w:color w:val="auto"/>
          <w:sz w:val="28"/>
          <w:u w:val="single"/>
        </w:rPr>
      </w:pPr>
      <w:r>
        <w:rPr>
          <w:rFonts w:hint="eastAsia" w:ascii="宋体" w:hAnsi="宋体"/>
          <w:color w:val="auto"/>
          <w:sz w:val="28"/>
        </w:rPr>
        <w:t>投标人：</w:t>
      </w:r>
      <w:r>
        <w:rPr>
          <w:rFonts w:ascii="宋体" w:hAnsi="宋体"/>
          <w:color w:val="auto"/>
          <w:sz w:val="28"/>
          <w:u w:val="single"/>
        </w:rPr>
        <w:t xml:space="preserve">       </w:t>
      </w:r>
      <w:r>
        <w:rPr>
          <w:rFonts w:hint="eastAsia" w:ascii="宋体" w:hAnsi="宋体"/>
          <w:color w:val="auto"/>
          <w:sz w:val="28"/>
          <w:u w:val="single"/>
        </w:rPr>
        <w:t>（此处填入投标人名称即可）</w:t>
      </w:r>
      <w:r>
        <w:rPr>
          <w:rFonts w:ascii="宋体" w:hAnsi="宋体"/>
          <w:color w:val="auto"/>
          <w:sz w:val="28"/>
          <w:u w:val="single"/>
        </w:rPr>
        <w:t xml:space="preserve">         </w:t>
      </w:r>
    </w:p>
    <w:p>
      <w:pPr>
        <w:spacing w:line="360" w:lineRule="auto"/>
        <w:ind w:firstLine="1120" w:firstLineChars="400"/>
        <w:jc w:val="left"/>
        <w:rPr>
          <w:rFonts w:ascii="宋体" w:hAnsi="宋体"/>
          <w:color w:val="auto"/>
          <w:sz w:val="28"/>
          <w:u w:val="single"/>
        </w:rPr>
      </w:pPr>
    </w:p>
    <w:p>
      <w:pPr>
        <w:spacing w:line="360" w:lineRule="auto"/>
        <w:jc w:val="center"/>
        <w:rPr>
          <w:rFonts w:ascii="宋体" w:hAnsi="宋体"/>
          <w:color w:val="auto"/>
          <w:sz w:val="20"/>
        </w:rPr>
      </w:pPr>
      <w:r>
        <w:rPr>
          <w:rFonts w:ascii="宋体" w:hAnsi="宋体"/>
          <w:color w:val="auto"/>
          <w:sz w:val="28"/>
          <w:u w:val="single"/>
        </w:rPr>
        <w:t xml:space="preserve">        </w:t>
      </w:r>
      <w:r>
        <w:rPr>
          <w:rFonts w:hint="eastAsia" w:ascii="宋体" w:hAnsi="宋体"/>
          <w:color w:val="auto"/>
          <w:sz w:val="28"/>
        </w:rPr>
        <w:t>年</w:t>
      </w:r>
      <w:r>
        <w:rPr>
          <w:rFonts w:ascii="宋体" w:hAnsi="宋体"/>
          <w:color w:val="auto"/>
          <w:sz w:val="28"/>
          <w:u w:val="single"/>
        </w:rPr>
        <w:t xml:space="preserve">        </w:t>
      </w:r>
      <w:r>
        <w:rPr>
          <w:rFonts w:hint="eastAsia" w:ascii="宋体" w:hAnsi="宋体"/>
          <w:color w:val="auto"/>
          <w:sz w:val="28"/>
        </w:rPr>
        <w:t>月</w:t>
      </w:r>
      <w:r>
        <w:rPr>
          <w:rFonts w:ascii="宋体" w:hAnsi="宋体"/>
          <w:color w:val="auto"/>
          <w:sz w:val="28"/>
          <w:u w:val="single"/>
        </w:rPr>
        <w:t xml:space="preserve">        </w:t>
      </w:r>
      <w:r>
        <w:rPr>
          <w:rFonts w:hint="eastAsia" w:ascii="宋体" w:hAnsi="宋体"/>
          <w:color w:val="auto"/>
          <w:sz w:val="28"/>
        </w:rPr>
        <w:t>日</w:t>
      </w:r>
    </w:p>
    <w:p>
      <w:pPr>
        <w:spacing w:line="360" w:lineRule="auto"/>
        <w:ind w:firstLine="1120" w:firstLineChars="400"/>
        <w:jc w:val="left"/>
        <w:rPr>
          <w:rFonts w:ascii="宋体" w:hAnsi="宋体"/>
          <w:color w:val="auto"/>
          <w:sz w:val="28"/>
        </w:rPr>
      </w:pPr>
    </w:p>
    <w:p>
      <w:pPr>
        <w:spacing w:line="440" w:lineRule="exact"/>
        <w:rPr>
          <w:rFonts w:ascii="宋体" w:hAnsi="宋体"/>
          <w:color w:val="auto"/>
        </w:rPr>
      </w:pPr>
    </w:p>
    <w:p>
      <w:pPr>
        <w:pStyle w:val="4"/>
        <w:ind w:firstLine="0" w:firstLineChars="0"/>
        <w:jc w:val="center"/>
        <w:rPr>
          <w:color w:val="auto"/>
          <w:sz w:val="36"/>
          <w:szCs w:val="36"/>
        </w:rPr>
      </w:pPr>
      <w:r>
        <w:rPr>
          <w:rFonts w:hint="eastAsia"/>
          <w:color w:val="auto"/>
        </w:rPr>
        <w:br w:type="page"/>
      </w:r>
      <w:bookmarkStart w:id="2098" w:name="_Toc25165"/>
      <w:bookmarkStart w:id="2099" w:name="_Toc914"/>
      <w:bookmarkStart w:id="2100" w:name="_Toc124613060"/>
      <w:r>
        <w:rPr>
          <w:rFonts w:hint="eastAsia"/>
          <w:color w:val="auto"/>
          <w:sz w:val="36"/>
        </w:rPr>
        <w:t>电子签章和电子签名扉页</w:t>
      </w:r>
      <w:bookmarkEnd w:id="2098"/>
      <w:bookmarkEnd w:id="2099"/>
      <w:bookmarkEnd w:id="2100"/>
    </w:p>
    <w:p>
      <w:pPr>
        <w:snapToGrid w:val="0"/>
        <w:spacing w:line="360" w:lineRule="auto"/>
        <w:jc w:val="center"/>
        <w:rPr>
          <w:rFonts w:ascii="宋体" w:hAnsi="宋体" w:cs="宋体"/>
          <w:b/>
          <w:bCs/>
          <w:color w:val="auto"/>
          <w:sz w:val="24"/>
        </w:rPr>
      </w:pPr>
      <w:r>
        <w:rPr>
          <w:rFonts w:hint="eastAsia" w:ascii="宋体" w:hAnsi="宋体" w:cs="宋体"/>
          <w:b/>
          <w:bCs/>
          <w:color w:val="auto"/>
          <w:sz w:val="24"/>
        </w:rPr>
        <w:t>关于电子签章和电子签名的声明函</w:t>
      </w:r>
    </w:p>
    <w:p>
      <w:pPr>
        <w:snapToGrid w:val="0"/>
        <w:spacing w:line="360" w:lineRule="auto"/>
        <w:rPr>
          <w:rFonts w:ascii="宋体" w:hAnsi="宋体" w:cs="宋体"/>
          <w:color w:val="auto"/>
          <w:sz w:val="24"/>
        </w:rPr>
      </w:pPr>
      <w:r>
        <w:rPr>
          <w:rFonts w:hint="eastAsia" w:ascii="宋体" w:hAnsi="宋体" w:cs="宋体"/>
          <w:color w:val="auto"/>
          <w:sz w:val="24"/>
        </w:rPr>
        <w:t>致招标人：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我方就本投标文件关于电子签章和电子签名的声明如下：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根据《关于建设工程项目启动电子签名（签章）功能的通知》（惠公易函〔2019〕37号）的规定。如我方在递交投标文件截止前仍未到惠州市公共资源交易中心办理电子签名及电子签章的，由此产生的一切后果由我方自行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编制完成后，由拟派出的项目负责人及技术负责人亲笔签名确认后，按规定加盖电子签名（签章）后再上传到惠州市公共资源交易中心建设工程招标投标交易平台。否则由此产生的一切后果由我方自行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3.我方在投标文件中完成电子签章和电子签名即代表我方对投标文件全部承诺内容的认可和确定。</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特此声明！</w:t>
      </w:r>
    </w:p>
    <w:p>
      <w:pPr>
        <w:pStyle w:val="2"/>
        <w:snapToGrid w:val="0"/>
        <w:spacing w:line="480" w:lineRule="auto"/>
        <w:ind w:firstLine="0" w:firstLineChars="0"/>
        <w:rPr>
          <w:rFonts w:ascii="宋体" w:hAnsi="宋体" w:cs="宋体"/>
          <w:color w:val="auto"/>
          <w:sz w:val="24"/>
        </w:rPr>
      </w:pPr>
    </w:p>
    <w:p>
      <w:pPr>
        <w:pStyle w:val="2"/>
        <w:snapToGrid w:val="0"/>
        <w:spacing w:line="480" w:lineRule="auto"/>
        <w:ind w:firstLine="0" w:firstLineChars="0"/>
        <w:rPr>
          <w:rFonts w:ascii="宋体" w:hAnsi="宋体" w:cs="宋体"/>
          <w:color w:val="auto"/>
          <w:sz w:val="24"/>
        </w:rPr>
      </w:pPr>
      <w:r>
        <w:rPr>
          <w:rFonts w:hint="eastAsia" w:ascii="宋体" w:hAnsi="宋体" w:cs="宋体"/>
          <w:color w:val="auto"/>
          <w:sz w:val="24"/>
        </w:rPr>
        <w:t>投标人（或牵头人）：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（电子签章） </w:t>
      </w:r>
    </w:p>
    <w:p>
      <w:pPr>
        <w:pStyle w:val="2"/>
        <w:snapToGrid w:val="0"/>
        <w:spacing w:line="480" w:lineRule="auto"/>
        <w:ind w:firstLine="0" w:firstLineChars="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（电子签名）</w:t>
      </w:r>
    </w:p>
    <w:p>
      <w:pPr>
        <w:pStyle w:val="2"/>
        <w:snapToGrid w:val="0"/>
        <w:spacing w:line="480" w:lineRule="auto"/>
        <w:ind w:firstLine="0" w:firstLineChars="0"/>
        <w:rPr>
          <w:rFonts w:ascii="宋体" w:hAnsi="宋体" w:cs="宋体"/>
          <w:color w:val="auto"/>
          <w:sz w:val="24"/>
        </w:rPr>
      </w:pPr>
      <w:r>
        <w:rPr>
          <w:rFonts w:hint="eastAsia" w:ascii="宋体" w:hAnsi="宋体" w:cs="宋体"/>
          <w:color w:val="auto"/>
          <w:sz w:val="24"/>
        </w:rPr>
        <w:t>项目负责人：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（亲笔签名） </w:t>
      </w:r>
    </w:p>
    <w:p>
      <w:pPr>
        <w:snapToGrid w:val="0"/>
        <w:spacing w:line="480" w:lineRule="auto"/>
        <w:rPr>
          <w:rFonts w:ascii="宋体" w:hAnsi="宋体" w:cs="宋体"/>
          <w:color w:val="auto"/>
          <w:sz w:val="24"/>
        </w:rPr>
      </w:pPr>
      <w:r>
        <w:rPr>
          <w:rFonts w:hint="eastAsia" w:ascii="宋体" w:hAnsi="宋体" w:cs="宋体"/>
          <w:color w:val="auto"/>
          <w:sz w:val="24"/>
        </w:rPr>
        <w:t>技术负责人：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（亲笔签名）</w:t>
      </w:r>
    </w:p>
    <w:p>
      <w:pPr>
        <w:pStyle w:val="2"/>
        <w:spacing w:line="360" w:lineRule="auto"/>
        <w:rPr>
          <w:rFonts w:ascii="宋体" w:hAnsi="宋体"/>
          <w:color w:val="auto"/>
        </w:rPr>
      </w:pPr>
    </w:p>
    <w:p>
      <w:pPr>
        <w:pStyle w:val="2"/>
        <w:spacing w:line="360" w:lineRule="auto"/>
        <w:rPr>
          <w:rFonts w:ascii="宋体" w:hAnsi="宋体"/>
          <w:color w:val="auto"/>
        </w:rPr>
      </w:pPr>
    </w:p>
    <w:p>
      <w:pPr>
        <w:pStyle w:val="2"/>
        <w:spacing w:line="360" w:lineRule="auto"/>
        <w:rPr>
          <w:rFonts w:ascii="宋体" w:hAnsi="宋体"/>
          <w:color w:val="auto"/>
        </w:rPr>
      </w:pPr>
    </w:p>
    <w:p>
      <w:pPr>
        <w:pStyle w:val="4"/>
        <w:ind w:firstLine="482"/>
        <w:jc w:val="center"/>
        <w:rPr>
          <w:color w:val="auto"/>
        </w:rPr>
      </w:pPr>
      <w:r>
        <w:rPr>
          <w:rFonts w:hint="eastAsia"/>
          <w:color w:val="auto"/>
        </w:rPr>
        <w:br w:type="page"/>
      </w:r>
      <w:bookmarkStart w:id="2101" w:name="_Toc16211"/>
      <w:bookmarkStart w:id="2102" w:name="_Toc124613061"/>
      <w:bookmarkStart w:id="2103" w:name="_Toc6892"/>
      <w:r>
        <w:rPr>
          <w:rFonts w:hint="eastAsia"/>
          <w:color w:val="auto"/>
        </w:rPr>
        <w:t>目  录</w:t>
      </w:r>
      <w:bookmarkEnd w:id="2101"/>
      <w:bookmarkEnd w:id="2102"/>
      <w:bookmarkEnd w:id="2103"/>
    </w:p>
    <w:p>
      <w:pPr>
        <w:spacing w:line="360" w:lineRule="auto"/>
        <w:jc w:val="center"/>
        <w:rPr>
          <w:rFonts w:ascii="宋体" w:hAnsi="宋体"/>
          <w:color w:val="auto"/>
          <w:sz w:val="24"/>
        </w:rPr>
      </w:pPr>
      <w:r>
        <w:rPr>
          <w:rFonts w:hint="eastAsia" w:ascii="宋体" w:hAnsi="宋体"/>
          <w:color w:val="auto"/>
          <w:sz w:val="24"/>
        </w:rPr>
        <w:t>（具体由投标人自拟）</w:t>
      </w:r>
    </w:p>
    <w:p>
      <w:pPr>
        <w:tabs>
          <w:tab w:val="left" w:pos="720"/>
        </w:tabs>
        <w:spacing w:line="360" w:lineRule="auto"/>
        <w:rPr>
          <w:rFonts w:ascii="宋体" w:hAnsi="宋体" w:cs="宋体"/>
          <w:color w:val="auto"/>
          <w:sz w:val="24"/>
        </w:rPr>
      </w:pPr>
      <w:r>
        <w:rPr>
          <w:rFonts w:hint="eastAsia" w:ascii="宋体" w:hAnsi="宋体" w:cs="宋体"/>
          <w:color w:val="auto"/>
          <w:sz w:val="24"/>
        </w:rPr>
        <w:t>一、施工组织设计</w:t>
      </w:r>
    </w:p>
    <w:p>
      <w:pPr>
        <w:tabs>
          <w:tab w:val="left" w:pos="720"/>
        </w:tabs>
        <w:spacing w:line="360" w:lineRule="auto"/>
        <w:rPr>
          <w:rFonts w:ascii="宋体" w:hAnsi="宋体" w:cs="宋体"/>
          <w:color w:val="auto"/>
          <w:sz w:val="24"/>
        </w:rPr>
      </w:pPr>
      <w:r>
        <w:rPr>
          <w:rFonts w:hint="eastAsia" w:ascii="宋体" w:hAnsi="宋体" w:cs="宋体"/>
          <w:color w:val="auto"/>
          <w:sz w:val="24"/>
        </w:rPr>
        <w:t>二、图表及格式要求</w:t>
      </w:r>
    </w:p>
    <w:p>
      <w:pPr>
        <w:pStyle w:val="4"/>
        <w:ind w:firstLine="0" w:firstLineChars="0"/>
        <w:jc w:val="center"/>
        <w:rPr>
          <w:color w:val="auto"/>
        </w:rPr>
      </w:pPr>
      <w:r>
        <w:rPr>
          <w:color w:val="auto"/>
        </w:rPr>
        <w:br w:type="page"/>
      </w:r>
      <w:bookmarkStart w:id="2104" w:name="_Toc20921"/>
      <w:bookmarkStart w:id="2105" w:name="_Toc28448"/>
      <w:bookmarkStart w:id="2106" w:name="_Toc17910"/>
      <w:bookmarkStart w:id="2107" w:name="_Toc124613062"/>
      <w:bookmarkStart w:id="2108" w:name="_Toc179632816"/>
      <w:bookmarkStart w:id="2109" w:name="_Toc152042585"/>
      <w:bookmarkStart w:id="2110" w:name="_Toc246997107"/>
      <w:bookmarkStart w:id="2111" w:name="_Toc247085882"/>
      <w:bookmarkStart w:id="2112" w:name="_Toc246996364"/>
      <w:bookmarkStart w:id="2113" w:name="_Toc8973"/>
      <w:bookmarkStart w:id="2114" w:name="_Toc19982"/>
      <w:bookmarkStart w:id="2115" w:name="_Toc144974864"/>
      <w:bookmarkStart w:id="2116" w:name="_Toc152045796"/>
      <w:bookmarkStart w:id="2117" w:name="_Toc4078445"/>
      <w:r>
        <w:rPr>
          <w:rFonts w:hint="eastAsia"/>
          <w:color w:val="auto"/>
        </w:rPr>
        <w:t>一、施工组织设计</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p>
    <w:bookmarkEnd w:id="2117"/>
    <w:p>
      <w:pPr>
        <w:tabs>
          <w:tab w:val="left" w:pos="720"/>
        </w:tabs>
        <w:spacing w:line="360" w:lineRule="auto"/>
        <w:ind w:firstLine="480" w:firstLineChars="200"/>
        <w:rPr>
          <w:rFonts w:ascii="宋体" w:hAnsi="宋体" w:cs="宋体"/>
          <w:color w:val="auto"/>
          <w:sz w:val="24"/>
        </w:rPr>
      </w:pPr>
    </w:p>
    <w:p>
      <w:pPr>
        <w:tabs>
          <w:tab w:val="left" w:pos="72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1.投标人编制施工组织设计的要求（格式自拟，应控制在</w:t>
      </w:r>
      <w:r>
        <w:rPr>
          <w:rFonts w:hint="eastAsia" w:ascii="宋体" w:hAnsi="宋体" w:cs="宋体"/>
          <w:color w:val="auto"/>
          <w:sz w:val="24"/>
          <w:u w:val="single"/>
        </w:rPr>
        <w:t>500</w:t>
      </w:r>
      <w:r>
        <w:rPr>
          <w:rFonts w:hint="eastAsia" w:ascii="宋体" w:hAnsi="宋体" w:cs="宋体"/>
          <w:color w:val="auto"/>
          <w:sz w:val="24"/>
        </w:rPr>
        <w:t>页以内，具体由招标根据项目情况确定），具体内容包括但不限于以下内容：</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总体概述：施工程序总体设想及施工段划分</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施工进度计划和各阶段进度的保证措施及违约责任承诺</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劳动力和材料投入计划及其保证措施</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机械设备投入计划及检测设备</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施工平面布置和临时设施布置</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关键施工技术、工艺及工程项目实施的重点、难点和解决方案</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安全文明措施</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质量保证与承诺</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扬尘污染防治方案</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用工实名管理方案</w:t>
      </w:r>
    </w:p>
    <w:p>
      <w:pPr>
        <w:pStyle w:val="154"/>
        <w:numPr>
          <w:ilvl w:val="0"/>
          <w:numId w:val="1"/>
        </w:numPr>
        <w:tabs>
          <w:tab w:val="left" w:pos="720"/>
        </w:tabs>
        <w:adjustRightInd w:val="0"/>
        <w:snapToGrid w:val="0"/>
        <w:spacing w:line="360" w:lineRule="auto"/>
        <w:ind w:firstLine="480"/>
        <w:rPr>
          <w:rFonts w:ascii="宋体" w:hAnsi="宋体" w:cs="宋体"/>
          <w:color w:val="auto"/>
          <w:sz w:val="24"/>
        </w:rPr>
      </w:pPr>
      <w:r>
        <w:rPr>
          <w:rFonts w:hint="eastAsia" w:ascii="宋体" w:hAnsi="宋体" w:cs="宋体"/>
          <w:color w:val="auto"/>
          <w:sz w:val="24"/>
        </w:rPr>
        <w:t>服务方案</w:t>
      </w:r>
    </w:p>
    <w:p>
      <w:pPr>
        <w:tabs>
          <w:tab w:val="left" w:pos="72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 图表及格式要求：</w:t>
      </w:r>
    </w:p>
    <w:p>
      <w:pPr>
        <w:tabs>
          <w:tab w:val="left" w:pos="720"/>
        </w:tabs>
        <w:adjustRightInd w:val="0"/>
        <w:snapToGrid w:val="0"/>
        <w:spacing w:line="360" w:lineRule="auto"/>
        <w:ind w:firstLine="864" w:firstLineChars="360"/>
        <w:rPr>
          <w:rFonts w:ascii="宋体" w:hAnsi="宋体" w:cs="宋体"/>
          <w:color w:val="auto"/>
          <w:sz w:val="24"/>
        </w:rPr>
      </w:pPr>
      <w:r>
        <w:rPr>
          <w:rFonts w:hint="eastAsia" w:ascii="宋体" w:hAnsi="宋体" w:cs="宋体"/>
          <w:color w:val="auto"/>
          <w:sz w:val="24"/>
        </w:rPr>
        <w:t>附表一  拟投入的主要施工设备表</w:t>
      </w:r>
    </w:p>
    <w:p>
      <w:pPr>
        <w:tabs>
          <w:tab w:val="left" w:pos="720"/>
        </w:tabs>
        <w:adjustRightInd w:val="0"/>
        <w:snapToGrid w:val="0"/>
        <w:spacing w:line="360" w:lineRule="auto"/>
        <w:ind w:firstLine="864" w:firstLineChars="360"/>
        <w:rPr>
          <w:rFonts w:ascii="宋体" w:hAnsi="宋体" w:cs="宋体"/>
          <w:color w:val="auto"/>
          <w:sz w:val="24"/>
        </w:rPr>
      </w:pPr>
      <w:r>
        <w:rPr>
          <w:rFonts w:hint="eastAsia" w:ascii="宋体" w:hAnsi="宋体" w:cs="宋体"/>
          <w:color w:val="auto"/>
          <w:sz w:val="24"/>
        </w:rPr>
        <w:t>附表二  劳动力计划表</w:t>
      </w:r>
    </w:p>
    <w:p>
      <w:pPr>
        <w:tabs>
          <w:tab w:val="left" w:pos="720"/>
        </w:tabs>
        <w:adjustRightInd w:val="0"/>
        <w:snapToGrid w:val="0"/>
        <w:spacing w:line="360" w:lineRule="auto"/>
        <w:ind w:firstLine="864" w:firstLineChars="360"/>
        <w:rPr>
          <w:rFonts w:ascii="宋体" w:hAnsi="宋体" w:cs="宋体"/>
          <w:color w:val="auto"/>
          <w:sz w:val="24"/>
        </w:rPr>
      </w:pPr>
      <w:r>
        <w:rPr>
          <w:rFonts w:hint="eastAsia" w:ascii="宋体" w:hAnsi="宋体" w:cs="宋体"/>
          <w:color w:val="auto"/>
          <w:sz w:val="24"/>
        </w:rPr>
        <w:t>附表三  进度计划</w:t>
      </w:r>
    </w:p>
    <w:p>
      <w:pPr>
        <w:tabs>
          <w:tab w:val="left" w:pos="720"/>
        </w:tabs>
        <w:adjustRightInd w:val="0"/>
        <w:snapToGrid w:val="0"/>
        <w:spacing w:line="360" w:lineRule="auto"/>
        <w:ind w:firstLine="864" w:firstLineChars="360"/>
        <w:rPr>
          <w:rFonts w:ascii="宋体" w:hAnsi="宋体" w:cs="宋体"/>
          <w:color w:val="auto"/>
          <w:sz w:val="24"/>
        </w:rPr>
      </w:pPr>
      <w:r>
        <w:rPr>
          <w:rFonts w:hint="eastAsia" w:ascii="宋体" w:hAnsi="宋体" w:cs="宋体"/>
          <w:color w:val="auto"/>
          <w:sz w:val="24"/>
        </w:rPr>
        <w:t>附表四  施工总平面图</w:t>
      </w:r>
    </w:p>
    <w:p>
      <w:pPr>
        <w:spacing w:line="360" w:lineRule="auto"/>
        <w:rPr>
          <w:rFonts w:ascii="宋体" w:hAnsi="宋体"/>
          <w:color w:val="auto"/>
          <w:sz w:val="20"/>
        </w:rPr>
      </w:pPr>
    </w:p>
    <w:p>
      <w:pPr>
        <w:pStyle w:val="2"/>
        <w:ind w:firstLine="400"/>
        <w:rPr>
          <w:rFonts w:ascii="宋体" w:hAnsi="宋体"/>
          <w:color w:val="auto"/>
          <w:sz w:val="20"/>
        </w:rPr>
      </w:pPr>
    </w:p>
    <w:p>
      <w:pPr>
        <w:pStyle w:val="2"/>
        <w:ind w:firstLine="400"/>
        <w:rPr>
          <w:rFonts w:ascii="宋体" w:hAnsi="宋体"/>
          <w:color w:val="auto"/>
          <w:sz w:val="20"/>
        </w:rPr>
      </w:pPr>
    </w:p>
    <w:p>
      <w:pPr>
        <w:pStyle w:val="2"/>
        <w:ind w:firstLine="400"/>
        <w:rPr>
          <w:rFonts w:ascii="宋体" w:hAnsi="宋体"/>
          <w:color w:val="auto"/>
          <w:sz w:val="20"/>
        </w:rPr>
      </w:pPr>
    </w:p>
    <w:p>
      <w:pPr>
        <w:pStyle w:val="2"/>
        <w:ind w:firstLine="400"/>
        <w:rPr>
          <w:rFonts w:ascii="宋体" w:hAnsi="宋体"/>
          <w:color w:val="auto"/>
          <w:sz w:val="20"/>
        </w:rPr>
      </w:pPr>
    </w:p>
    <w:p>
      <w:pPr>
        <w:pStyle w:val="2"/>
        <w:ind w:firstLine="400"/>
        <w:rPr>
          <w:rFonts w:ascii="宋体" w:hAnsi="宋体"/>
          <w:color w:val="auto"/>
          <w:sz w:val="20"/>
        </w:rPr>
      </w:pPr>
    </w:p>
    <w:p>
      <w:pPr>
        <w:pStyle w:val="4"/>
        <w:ind w:firstLine="0" w:firstLineChars="0"/>
        <w:jc w:val="center"/>
        <w:rPr>
          <w:color w:val="auto"/>
        </w:rPr>
      </w:pPr>
      <w:bookmarkStart w:id="2118" w:name="_Toc5912"/>
      <w:bookmarkStart w:id="2119" w:name="_Toc247085883"/>
      <w:bookmarkStart w:id="2120" w:name="_Toc10696"/>
      <w:bookmarkStart w:id="2121" w:name="_Toc27883"/>
      <w:bookmarkStart w:id="2122" w:name="_Toc144974865"/>
      <w:bookmarkStart w:id="2123" w:name="_Toc246997108"/>
      <w:bookmarkStart w:id="2124" w:name="_Toc246996365"/>
      <w:bookmarkStart w:id="2125" w:name="_Toc23757"/>
      <w:bookmarkStart w:id="2126" w:name="_Toc1405"/>
      <w:bookmarkStart w:id="2127" w:name="_Toc152045797"/>
      <w:bookmarkStart w:id="2128" w:name="_Toc179632817"/>
      <w:bookmarkStart w:id="2129" w:name="_Toc152042586"/>
      <w:bookmarkStart w:id="2130" w:name="_Toc17221"/>
      <w:bookmarkStart w:id="2131" w:name="_Toc4078446"/>
      <w:r>
        <w:rPr>
          <w:color w:val="auto"/>
        </w:rPr>
        <w:br w:type="page"/>
      </w:r>
      <w:bookmarkStart w:id="2132" w:name="_Toc124613063"/>
      <w:r>
        <w:rPr>
          <w:rFonts w:hint="eastAsia"/>
          <w:color w:val="auto"/>
        </w:rPr>
        <w:t>二、图表及格式要求</w:t>
      </w:r>
      <w:bookmarkEnd w:id="2132"/>
    </w:p>
    <w:p>
      <w:pPr>
        <w:rPr>
          <w:b/>
          <w:color w:val="auto"/>
          <w:sz w:val="24"/>
        </w:rPr>
      </w:pPr>
    </w:p>
    <w:p>
      <w:pPr>
        <w:rPr>
          <w:color w:val="auto"/>
        </w:rPr>
      </w:pPr>
      <w:bookmarkStart w:id="2133" w:name="_Toc4880"/>
      <w:r>
        <w:rPr>
          <w:b/>
          <w:color w:val="auto"/>
          <w:sz w:val="24"/>
        </w:rPr>
        <w:t>附表一：拟投入本</w:t>
      </w:r>
      <w:r>
        <w:rPr>
          <w:rFonts w:hint="eastAsia"/>
          <w:b/>
          <w:color w:val="auto"/>
          <w:sz w:val="24"/>
        </w:rPr>
        <w:t>项目</w:t>
      </w:r>
      <w:r>
        <w:rPr>
          <w:b/>
          <w:color w:val="auto"/>
          <w:sz w:val="24"/>
        </w:rPr>
        <w:t>的主要施工设备表</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3"/>
    </w:p>
    <w:tbl>
      <w:tblPr>
        <w:tblStyle w:val="46"/>
        <w:tblW w:w="93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60"/>
        <w:gridCol w:w="812"/>
        <w:gridCol w:w="1057"/>
        <w:gridCol w:w="717"/>
        <w:gridCol w:w="788"/>
        <w:gridCol w:w="1294"/>
        <w:gridCol w:w="933"/>
        <w:gridCol w:w="1126"/>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0" w:type="dxa"/>
            <w:vAlign w:val="center"/>
          </w:tcPr>
          <w:p>
            <w:pPr>
              <w:spacing w:line="440" w:lineRule="exact"/>
              <w:rPr>
                <w:rFonts w:ascii="宋体" w:hAnsi="宋体"/>
                <w:color w:val="auto"/>
              </w:rPr>
            </w:pPr>
            <w:r>
              <w:rPr>
                <w:rFonts w:hint="eastAsia" w:ascii="宋体" w:hAnsi="宋体"/>
                <w:color w:val="auto"/>
              </w:rPr>
              <w:t>序号</w:t>
            </w:r>
          </w:p>
        </w:tc>
        <w:tc>
          <w:tcPr>
            <w:tcW w:w="1160" w:type="dxa"/>
            <w:vAlign w:val="center"/>
          </w:tcPr>
          <w:p>
            <w:pPr>
              <w:spacing w:line="440" w:lineRule="exact"/>
              <w:jc w:val="center"/>
              <w:rPr>
                <w:rFonts w:ascii="宋体" w:hAnsi="宋体"/>
                <w:color w:val="auto"/>
              </w:rPr>
            </w:pPr>
            <w:r>
              <w:rPr>
                <w:rFonts w:hint="eastAsia" w:ascii="宋体" w:hAnsi="宋体"/>
                <w:color w:val="auto"/>
              </w:rPr>
              <w:t>设备名称</w:t>
            </w:r>
          </w:p>
        </w:tc>
        <w:tc>
          <w:tcPr>
            <w:tcW w:w="812" w:type="dxa"/>
            <w:vAlign w:val="center"/>
          </w:tcPr>
          <w:p>
            <w:pPr>
              <w:spacing w:line="440" w:lineRule="exact"/>
              <w:jc w:val="center"/>
              <w:rPr>
                <w:rFonts w:ascii="宋体" w:hAnsi="宋体"/>
                <w:color w:val="auto"/>
              </w:rPr>
            </w:pPr>
            <w:r>
              <w:rPr>
                <w:rFonts w:hint="eastAsia" w:ascii="宋体" w:hAnsi="宋体"/>
                <w:color w:val="auto"/>
              </w:rPr>
              <w:t>型号</w:t>
            </w:r>
          </w:p>
          <w:p>
            <w:pPr>
              <w:spacing w:line="440" w:lineRule="exact"/>
              <w:jc w:val="center"/>
              <w:rPr>
                <w:rFonts w:ascii="宋体" w:hAnsi="宋体"/>
                <w:color w:val="auto"/>
              </w:rPr>
            </w:pPr>
            <w:r>
              <w:rPr>
                <w:rFonts w:hint="eastAsia" w:ascii="宋体" w:hAnsi="宋体"/>
                <w:color w:val="auto"/>
              </w:rPr>
              <w:t>规格</w:t>
            </w:r>
          </w:p>
        </w:tc>
        <w:tc>
          <w:tcPr>
            <w:tcW w:w="1057" w:type="dxa"/>
            <w:vAlign w:val="center"/>
          </w:tcPr>
          <w:p>
            <w:pPr>
              <w:spacing w:line="440" w:lineRule="exact"/>
              <w:jc w:val="center"/>
              <w:rPr>
                <w:rFonts w:ascii="宋体" w:hAnsi="宋体"/>
                <w:color w:val="auto"/>
              </w:rPr>
            </w:pPr>
            <w:r>
              <w:rPr>
                <w:rFonts w:hint="eastAsia" w:ascii="宋体" w:hAnsi="宋体"/>
                <w:color w:val="auto"/>
              </w:rPr>
              <w:t>数量</w:t>
            </w:r>
          </w:p>
        </w:tc>
        <w:tc>
          <w:tcPr>
            <w:tcW w:w="717" w:type="dxa"/>
            <w:vAlign w:val="center"/>
          </w:tcPr>
          <w:p>
            <w:pPr>
              <w:spacing w:line="440" w:lineRule="exact"/>
              <w:jc w:val="center"/>
              <w:rPr>
                <w:rFonts w:ascii="宋体" w:hAnsi="宋体"/>
                <w:color w:val="auto"/>
              </w:rPr>
            </w:pPr>
            <w:r>
              <w:rPr>
                <w:rFonts w:hint="eastAsia" w:ascii="宋体" w:hAnsi="宋体"/>
                <w:color w:val="auto"/>
              </w:rPr>
              <w:t>国别</w:t>
            </w:r>
          </w:p>
          <w:p>
            <w:pPr>
              <w:spacing w:line="440" w:lineRule="exact"/>
              <w:jc w:val="center"/>
              <w:rPr>
                <w:rFonts w:ascii="宋体" w:hAnsi="宋体"/>
                <w:color w:val="auto"/>
              </w:rPr>
            </w:pPr>
            <w:r>
              <w:rPr>
                <w:rFonts w:hint="eastAsia" w:ascii="宋体" w:hAnsi="宋体"/>
                <w:color w:val="auto"/>
              </w:rPr>
              <w:t>产地</w:t>
            </w:r>
          </w:p>
        </w:tc>
        <w:tc>
          <w:tcPr>
            <w:tcW w:w="788" w:type="dxa"/>
            <w:vAlign w:val="center"/>
          </w:tcPr>
          <w:p>
            <w:pPr>
              <w:spacing w:line="440" w:lineRule="exact"/>
              <w:jc w:val="center"/>
              <w:rPr>
                <w:rFonts w:ascii="宋体" w:hAnsi="宋体"/>
                <w:color w:val="auto"/>
              </w:rPr>
            </w:pPr>
            <w:r>
              <w:rPr>
                <w:rFonts w:hint="eastAsia" w:ascii="宋体" w:hAnsi="宋体"/>
                <w:color w:val="auto"/>
              </w:rPr>
              <w:t>制造</w:t>
            </w:r>
          </w:p>
          <w:p>
            <w:pPr>
              <w:spacing w:line="440" w:lineRule="exact"/>
              <w:jc w:val="center"/>
              <w:rPr>
                <w:rFonts w:ascii="宋体" w:hAnsi="宋体"/>
                <w:color w:val="auto"/>
              </w:rPr>
            </w:pPr>
            <w:r>
              <w:rPr>
                <w:rFonts w:hint="eastAsia" w:ascii="宋体" w:hAnsi="宋体"/>
                <w:color w:val="auto"/>
              </w:rPr>
              <w:t>年份</w:t>
            </w:r>
          </w:p>
        </w:tc>
        <w:tc>
          <w:tcPr>
            <w:tcW w:w="1294" w:type="dxa"/>
            <w:vAlign w:val="center"/>
          </w:tcPr>
          <w:p>
            <w:pPr>
              <w:spacing w:line="440" w:lineRule="exact"/>
              <w:jc w:val="center"/>
              <w:rPr>
                <w:rFonts w:ascii="宋体" w:hAnsi="宋体"/>
                <w:color w:val="auto"/>
              </w:rPr>
            </w:pPr>
            <w:r>
              <w:rPr>
                <w:rFonts w:hint="eastAsia" w:ascii="宋体" w:hAnsi="宋体"/>
                <w:color w:val="auto"/>
              </w:rPr>
              <w:t>额定功率（</w:t>
            </w:r>
            <w:r>
              <w:rPr>
                <w:rFonts w:ascii="宋体" w:hAnsi="宋体"/>
                <w:color w:val="auto"/>
              </w:rPr>
              <w:t>kW</w:t>
            </w:r>
            <w:r>
              <w:rPr>
                <w:rFonts w:hint="eastAsia" w:ascii="宋体" w:hAnsi="宋体"/>
                <w:color w:val="auto"/>
              </w:rPr>
              <w:t>）</w:t>
            </w:r>
          </w:p>
        </w:tc>
        <w:tc>
          <w:tcPr>
            <w:tcW w:w="933" w:type="dxa"/>
            <w:vAlign w:val="center"/>
          </w:tcPr>
          <w:p>
            <w:pPr>
              <w:spacing w:line="440" w:lineRule="exact"/>
              <w:jc w:val="center"/>
              <w:rPr>
                <w:rFonts w:ascii="宋体" w:hAnsi="宋体"/>
                <w:color w:val="auto"/>
              </w:rPr>
            </w:pPr>
            <w:r>
              <w:rPr>
                <w:rFonts w:hint="eastAsia" w:ascii="宋体" w:hAnsi="宋体"/>
                <w:color w:val="auto"/>
              </w:rPr>
              <w:t>生产</w:t>
            </w:r>
          </w:p>
          <w:p>
            <w:pPr>
              <w:spacing w:line="440" w:lineRule="exact"/>
              <w:jc w:val="center"/>
              <w:rPr>
                <w:rFonts w:ascii="宋体" w:hAnsi="宋体"/>
                <w:color w:val="auto"/>
              </w:rPr>
            </w:pPr>
            <w:r>
              <w:rPr>
                <w:rFonts w:hint="eastAsia" w:ascii="宋体" w:hAnsi="宋体"/>
                <w:color w:val="auto"/>
              </w:rPr>
              <w:t>能力</w:t>
            </w:r>
          </w:p>
        </w:tc>
        <w:tc>
          <w:tcPr>
            <w:tcW w:w="1126" w:type="dxa"/>
            <w:vAlign w:val="center"/>
          </w:tcPr>
          <w:p>
            <w:pPr>
              <w:spacing w:line="440" w:lineRule="exact"/>
              <w:jc w:val="center"/>
              <w:rPr>
                <w:rFonts w:ascii="宋体" w:hAnsi="宋体"/>
                <w:color w:val="auto"/>
              </w:rPr>
            </w:pPr>
            <w:r>
              <w:rPr>
                <w:rFonts w:hint="eastAsia" w:ascii="宋体" w:hAnsi="宋体"/>
                <w:color w:val="auto"/>
              </w:rPr>
              <w:t>用于施工部位</w:t>
            </w:r>
          </w:p>
        </w:tc>
        <w:tc>
          <w:tcPr>
            <w:tcW w:w="738" w:type="dxa"/>
            <w:vAlign w:val="center"/>
          </w:tcPr>
          <w:p>
            <w:pPr>
              <w:spacing w:line="44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vAlign w:val="center"/>
          </w:tcPr>
          <w:p>
            <w:pPr>
              <w:spacing w:line="440" w:lineRule="exact"/>
              <w:jc w:val="center"/>
              <w:rPr>
                <w:rFonts w:ascii="宋体" w:hAnsi="宋体"/>
                <w:color w:val="auto"/>
              </w:rPr>
            </w:pPr>
          </w:p>
        </w:tc>
        <w:tc>
          <w:tcPr>
            <w:tcW w:w="1160" w:type="dxa"/>
            <w:vAlign w:val="center"/>
          </w:tcPr>
          <w:p>
            <w:pPr>
              <w:spacing w:line="440" w:lineRule="exact"/>
              <w:jc w:val="center"/>
              <w:rPr>
                <w:rFonts w:ascii="宋体" w:hAnsi="宋体"/>
                <w:color w:val="auto"/>
              </w:rPr>
            </w:pPr>
          </w:p>
        </w:tc>
        <w:tc>
          <w:tcPr>
            <w:tcW w:w="812" w:type="dxa"/>
            <w:vAlign w:val="center"/>
          </w:tcPr>
          <w:p>
            <w:pPr>
              <w:spacing w:line="440" w:lineRule="exact"/>
              <w:jc w:val="center"/>
              <w:rPr>
                <w:rFonts w:ascii="宋体" w:hAnsi="宋体"/>
                <w:color w:val="auto"/>
              </w:rPr>
            </w:pPr>
          </w:p>
        </w:tc>
        <w:tc>
          <w:tcPr>
            <w:tcW w:w="1057" w:type="dxa"/>
            <w:vAlign w:val="center"/>
          </w:tcPr>
          <w:p>
            <w:pPr>
              <w:spacing w:line="440" w:lineRule="exact"/>
              <w:jc w:val="center"/>
              <w:rPr>
                <w:rFonts w:ascii="宋体" w:hAnsi="宋体"/>
                <w:color w:val="auto"/>
              </w:rPr>
            </w:pPr>
          </w:p>
        </w:tc>
        <w:tc>
          <w:tcPr>
            <w:tcW w:w="717" w:type="dxa"/>
            <w:vAlign w:val="center"/>
          </w:tcPr>
          <w:p>
            <w:pPr>
              <w:spacing w:line="440" w:lineRule="exact"/>
              <w:jc w:val="center"/>
              <w:rPr>
                <w:rFonts w:ascii="宋体" w:hAnsi="宋体"/>
                <w:color w:val="auto"/>
              </w:rPr>
            </w:pPr>
          </w:p>
        </w:tc>
        <w:tc>
          <w:tcPr>
            <w:tcW w:w="788" w:type="dxa"/>
            <w:vAlign w:val="center"/>
          </w:tcPr>
          <w:p>
            <w:pPr>
              <w:spacing w:line="440" w:lineRule="exact"/>
              <w:jc w:val="center"/>
              <w:rPr>
                <w:rFonts w:ascii="宋体" w:hAnsi="宋体"/>
                <w:color w:val="auto"/>
              </w:rPr>
            </w:pPr>
          </w:p>
        </w:tc>
        <w:tc>
          <w:tcPr>
            <w:tcW w:w="1294" w:type="dxa"/>
            <w:vAlign w:val="center"/>
          </w:tcPr>
          <w:p>
            <w:pPr>
              <w:spacing w:line="440" w:lineRule="exact"/>
              <w:jc w:val="center"/>
              <w:rPr>
                <w:rFonts w:ascii="宋体" w:hAnsi="宋体"/>
                <w:color w:val="auto"/>
              </w:rPr>
            </w:pPr>
          </w:p>
        </w:tc>
        <w:tc>
          <w:tcPr>
            <w:tcW w:w="933" w:type="dxa"/>
            <w:vAlign w:val="center"/>
          </w:tcPr>
          <w:p>
            <w:pPr>
              <w:spacing w:line="440" w:lineRule="exact"/>
              <w:jc w:val="center"/>
              <w:rPr>
                <w:rFonts w:ascii="宋体" w:hAnsi="宋体"/>
                <w:color w:val="auto"/>
              </w:rPr>
            </w:pPr>
          </w:p>
        </w:tc>
        <w:tc>
          <w:tcPr>
            <w:tcW w:w="1126" w:type="dxa"/>
            <w:vAlign w:val="center"/>
          </w:tcPr>
          <w:p>
            <w:pPr>
              <w:spacing w:line="440" w:lineRule="exact"/>
              <w:jc w:val="center"/>
              <w:rPr>
                <w:rFonts w:ascii="宋体" w:hAnsi="宋体"/>
                <w:color w:val="auto"/>
              </w:rPr>
            </w:pPr>
          </w:p>
        </w:tc>
        <w:tc>
          <w:tcPr>
            <w:tcW w:w="738" w:type="dxa"/>
            <w:vAlign w:val="center"/>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vAlign w:val="center"/>
          </w:tcPr>
          <w:p>
            <w:pPr>
              <w:spacing w:line="440" w:lineRule="exact"/>
              <w:jc w:val="center"/>
              <w:rPr>
                <w:rFonts w:ascii="宋体" w:hAnsi="宋体"/>
                <w:color w:val="auto"/>
              </w:rPr>
            </w:pPr>
          </w:p>
        </w:tc>
        <w:tc>
          <w:tcPr>
            <w:tcW w:w="1160" w:type="dxa"/>
            <w:vAlign w:val="center"/>
          </w:tcPr>
          <w:p>
            <w:pPr>
              <w:spacing w:line="440" w:lineRule="exact"/>
              <w:jc w:val="center"/>
              <w:rPr>
                <w:rFonts w:ascii="宋体" w:hAnsi="宋体"/>
                <w:color w:val="auto"/>
              </w:rPr>
            </w:pPr>
          </w:p>
        </w:tc>
        <w:tc>
          <w:tcPr>
            <w:tcW w:w="812" w:type="dxa"/>
            <w:vAlign w:val="center"/>
          </w:tcPr>
          <w:p>
            <w:pPr>
              <w:spacing w:line="440" w:lineRule="exact"/>
              <w:jc w:val="center"/>
              <w:rPr>
                <w:rFonts w:ascii="宋体" w:hAnsi="宋体"/>
                <w:color w:val="auto"/>
              </w:rPr>
            </w:pPr>
          </w:p>
        </w:tc>
        <w:tc>
          <w:tcPr>
            <w:tcW w:w="1057" w:type="dxa"/>
            <w:vAlign w:val="center"/>
          </w:tcPr>
          <w:p>
            <w:pPr>
              <w:spacing w:line="440" w:lineRule="exact"/>
              <w:jc w:val="center"/>
              <w:rPr>
                <w:rFonts w:ascii="宋体" w:hAnsi="宋体"/>
                <w:color w:val="auto"/>
              </w:rPr>
            </w:pPr>
          </w:p>
        </w:tc>
        <w:tc>
          <w:tcPr>
            <w:tcW w:w="717" w:type="dxa"/>
            <w:vAlign w:val="center"/>
          </w:tcPr>
          <w:p>
            <w:pPr>
              <w:spacing w:line="440" w:lineRule="exact"/>
              <w:jc w:val="center"/>
              <w:rPr>
                <w:rFonts w:ascii="宋体" w:hAnsi="宋体"/>
                <w:color w:val="auto"/>
              </w:rPr>
            </w:pPr>
          </w:p>
        </w:tc>
        <w:tc>
          <w:tcPr>
            <w:tcW w:w="788" w:type="dxa"/>
            <w:vAlign w:val="center"/>
          </w:tcPr>
          <w:p>
            <w:pPr>
              <w:spacing w:line="440" w:lineRule="exact"/>
              <w:jc w:val="center"/>
              <w:rPr>
                <w:rFonts w:ascii="宋体" w:hAnsi="宋体"/>
                <w:color w:val="auto"/>
              </w:rPr>
            </w:pPr>
          </w:p>
        </w:tc>
        <w:tc>
          <w:tcPr>
            <w:tcW w:w="1294" w:type="dxa"/>
            <w:vAlign w:val="center"/>
          </w:tcPr>
          <w:p>
            <w:pPr>
              <w:spacing w:line="440" w:lineRule="exact"/>
              <w:jc w:val="center"/>
              <w:rPr>
                <w:rFonts w:ascii="宋体" w:hAnsi="宋体"/>
                <w:color w:val="auto"/>
              </w:rPr>
            </w:pPr>
          </w:p>
        </w:tc>
        <w:tc>
          <w:tcPr>
            <w:tcW w:w="933" w:type="dxa"/>
            <w:vAlign w:val="center"/>
          </w:tcPr>
          <w:p>
            <w:pPr>
              <w:spacing w:line="440" w:lineRule="exact"/>
              <w:jc w:val="center"/>
              <w:rPr>
                <w:rFonts w:ascii="宋体" w:hAnsi="宋体"/>
                <w:color w:val="auto"/>
              </w:rPr>
            </w:pPr>
          </w:p>
        </w:tc>
        <w:tc>
          <w:tcPr>
            <w:tcW w:w="1126" w:type="dxa"/>
            <w:vAlign w:val="center"/>
          </w:tcPr>
          <w:p>
            <w:pPr>
              <w:spacing w:line="440" w:lineRule="exact"/>
              <w:jc w:val="center"/>
              <w:rPr>
                <w:rFonts w:ascii="宋体" w:hAnsi="宋体"/>
                <w:color w:val="auto"/>
              </w:rPr>
            </w:pPr>
          </w:p>
        </w:tc>
        <w:tc>
          <w:tcPr>
            <w:tcW w:w="738" w:type="dxa"/>
            <w:vAlign w:val="center"/>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0" w:type="dxa"/>
          </w:tcPr>
          <w:p>
            <w:pPr>
              <w:spacing w:line="440" w:lineRule="exact"/>
              <w:jc w:val="center"/>
              <w:rPr>
                <w:rFonts w:ascii="宋体" w:hAnsi="宋体"/>
                <w:color w:val="auto"/>
              </w:rPr>
            </w:pPr>
          </w:p>
        </w:tc>
        <w:tc>
          <w:tcPr>
            <w:tcW w:w="1160" w:type="dxa"/>
          </w:tcPr>
          <w:p>
            <w:pPr>
              <w:spacing w:line="440" w:lineRule="exact"/>
              <w:jc w:val="center"/>
              <w:rPr>
                <w:rFonts w:ascii="宋体" w:hAnsi="宋体"/>
                <w:color w:val="auto"/>
              </w:rPr>
            </w:pPr>
          </w:p>
        </w:tc>
        <w:tc>
          <w:tcPr>
            <w:tcW w:w="812" w:type="dxa"/>
          </w:tcPr>
          <w:p>
            <w:pPr>
              <w:spacing w:line="440" w:lineRule="exact"/>
              <w:jc w:val="center"/>
              <w:rPr>
                <w:rFonts w:ascii="宋体" w:hAnsi="宋体"/>
                <w:color w:val="auto"/>
              </w:rPr>
            </w:pPr>
          </w:p>
        </w:tc>
        <w:tc>
          <w:tcPr>
            <w:tcW w:w="1057" w:type="dxa"/>
          </w:tcPr>
          <w:p>
            <w:pPr>
              <w:spacing w:line="440" w:lineRule="exact"/>
              <w:jc w:val="center"/>
              <w:rPr>
                <w:rFonts w:ascii="宋体" w:hAnsi="宋体"/>
                <w:color w:val="auto"/>
              </w:rPr>
            </w:pPr>
          </w:p>
        </w:tc>
        <w:tc>
          <w:tcPr>
            <w:tcW w:w="717" w:type="dxa"/>
          </w:tcPr>
          <w:p>
            <w:pPr>
              <w:spacing w:line="440" w:lineRule="exact"/>
              <w:jc w:val="center"/>
              <w:rPr>
                <w:rFonts w:ascii="宋体" w:hAnsi="宋体"/>
                <w:color w:val="auto"/>
              </w:rPr>
            </w:pPr>
          </w:p>
        </w:tc>
        <w:tc>
          <w:tcPr>
            <w:tcW w:w="788" w:type="dxa"/>
          </w:tcPr>
          <w:p>
            <w:pPr>
              <w:spacing w:line="440" w:lineRule="exact"/>
              <w:jc w:val="center"/>
              <w:rPr>
                <w:rFonts w:ascii="宋体" w:hAnsi="宋体"/>
                <w:color w:val="auto"/>
              </w:rPr>
            </w:pPr>
          </w:p>
        </w:tc>
        <w:tc>
          <w:tcPr>
            <w:tcW w:w="1294" w:type="dxa"/>
          </w:tcPr>
          <w:p>
            <w:pPr>
              <w:spacing w:line="440" w:lineRule="exact"/>
              <w:jc w:val="center"/>
              <w:rPr>
                <w:rFonts w:ascii="宋体" w:hAnsi="宋体"/>
                <w:color w:val="auto"/>
              </w:rPr>
            </w:pPr>
          </w:p>
        </w:tc>
        <w:tc>
          <w:tcPr>
            <w:tcW w:w="933" w:type="dxa"/>
          </w:tcPr>
          <w:p>
            <w:pPr>
              <w:spacing w:line="440" w:lineRule="exact"/>
              <w:jc w:val="center"/>
              <w:rPr>
                <w:rFonts w:ascii="宋体" w:hAnsi="宋体"/>
                <w:color w:val="auto"/>
              </w:rPr>
            </w:pPr>
          </w:p>
        </w:tc>
        <w:tc>
          <w:tcPr>
            <w:tcW w:w="1126" w:type="dxa"/>
          </w:tcPr>
          <w:p>
            <w:pPr>
              <w:spacing w:line="440" w:lineRule="exact"/>
              <w:jc w:val="center"/>
              <w:rPr>
                <w:rFonts w:ascii="宋体" w:hAnsi="宋体"/>
                <w:color w:val="auto"/>
              </w:rPr>
            </w:pPr>
          </w:p>
        </w:tc>
        <w:tc>
          <w:tcPr>
            <w:tcW w:w="738" w:type="dxa"/>
          </w:tcPr>
          <w:p>
            <w:pPr>
              <w:spacing w:line="440" w:lineRule="exact"/>
              <w:jc w:val="center"/>
              <w:rPr>
                <w:rFonts w:ascii="宋体" w:hAnsi="宋体"/>
                <w:color w:val="auto"/>
              </w:rPr>
            </w:pPr>
          </w:p>
        </w:tc>
      </w:tr>
    </w:tbl>
    <w:p>
      <w:pPr>
        <w:rPr>
          <w:b/>
          <w:color w:val="auto"/>
          <w:sz w:val="32"/>
        </w:rPr>
      </w:pPr>
      <w:bookmarkStart w:id="2134" w:name="_Toc246997109"/>
      <w:bookmarkStart w:id="2135" w:name="_Toc144974867"/>
      <w:bookmarkStart w:id="2136" w:name="_Toc8558"/>
      <w:bookmarkStart w:id="2137" w:name="_Toc246996366"/>
      <w:bookmarkStart w:id="2138" w:name="_Toc152045799"/>
      <w:bookmarkStart w:id="2139" w:name="_Toc24000"/>
      <w:bookmarkStart w:id="2140" w:name="_Toc10040"/>
      <w:bookmarkStart w:id="2141" w:name="_Toc247085884"/>
      <w:bookmarkStart w:id="2142" w:name="_Toc152042588"/>
      <w:bookmarkStart w:id="2143" w:name="_Toc12372"/>
      <w:bookmarkStart w:id="2144" w:name="_Toc4078447"/>
      <w:bookmarkStart w:id="2145" w:name="_Toc179632819"/>
      <w:bookmarkStart w:id="2146" w:name="_Toc21890"/>
      <w:bookmarkStart w:id="2147" w:name="_Toc13897"/>
      <w:r>
        <w:rPr>
          <w:color w:val="auto"/>
          <w:sz w:val="32"/>
        </w:rPr>
        <w:br w:type="page"/>
      </w:r>
      <w:bookmarkStart w:id="2148" w:name="_Toc11404"/>
      <w:r>
        <w:rPr>
          <w:rFonts w:hint="eastAsia"/>
          <w:b/>
          <w:color w:val="auto"/>
          <w:sz w:val="24"/>
        </w:rPr>
        <w:t>附表二：劳动力计划表</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pPr>
        <w:wordWrap w:val="0"/>
        <w:spacing w:line="440" w:lineRule="exact"/>
        <w:ind w:right="200"/>
        <w:jc w:val="right"/>
        <w:rPr>
          <w:rFonts w:ascii="宋体" w:hAnsi="宋体"/>
          <w:color w:val="auto"/>
        </w:rPr>
      </w:pPr>
      <w:r>
        <w:rPr>
          <w:rFonts w:hint="eastAsia" w:ascii="宋体" w:hAnsi="宋体"/>
          <w:color w:val="auto"/>
        </w:rPr>
        <w:t>单位：人</w:t>
      </w:r>
      <w:r>
        <w:rPr>
          <w:rFonts w:ascii="宋体" w:hAnsi="宋体"/>
          <w:color w:val="auto"/>
        </w:rPr>
        <w:t xml:space="preserve">      </w:t>
      </w:r>
    </w:p>
    <w:tbl>
      <w:tblPr>
        <w:tblStyle w:val="46"/>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92"/>
        <w:gridCol w:w="1137"/>
        <w:gridCol w:w="1137"/>
        <w:gridCol w:w="1137"/>
        <w:gridCol w:w="1137"/>
        <w:gridCol w:w="113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vAlign w:val="center"/>
          </w:tcPr>
          <w:p>
            <w:pPr>
              <w:jc w:val="center"/>
              <w:rPr>
                <w:rFonts w:ascii="宋体" w:hAnsi="宋体"/>
                <w:color w:val="auto"/>
              </w:rPr>
            </w:pPr>
            <w:r>
              <w:rPr>
                <w:rFonts w:hint="eastAsia" w:ascii="宋体" w:hAnsi="宋体"/>
                <w:color w:val="auto"/>
              </w:rPr>
              <w:t>工种</w:t>
            </w:r>
          </w:p>
        </w:tc>
        <w:tc>
          <w:tcPr>
            <w:tcW w:w="8214" w:type="dxa"/>
            <w:gridSpan w:val="7"/>
            <w:vAlign w:val="center"/>
          </w:tcPr>
          <w:p>
            <w:pPr>
              <w:jc w:val="center"/>
              <w:rPr>
                <w:rFonts w:ascii="宋体" w:hAnsi="宋体"/>
                <w:color w:val="auto"/>
              </w:rPr>
            </w:pPr>
            <w:r>
              <w:rPr>
                <w:rFonts w:hint="eastAsia" w:ascii="宋体" w:hAnsi="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vAlign w:val="center"/>
          </w:tcPr>
          <w:p>
            <w:pPr>
              <w:spacing w:line="440" w:lineRule="exact"/>
              <w:jc w:val="center"/>
              <w:rPr>
                <w:rFonts w:ascii="宋体" w:hAnsi="宋体"/>
                <w:color w:val="auto"/>
              </w:rPr>
            </w:pPr>
          </w:p>
        </w:tc>
        <w:tc>
          <w:tcPr>
            <w:tcW w:w="1392"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vAlign w:val="center"/>
          </w:tcPr>
          <w:p>
            <w:pPr>
              <w:spacing w:line="440" w:lineRule="exact"/>
              <w:jc w:val="center"/>
              <w:rPr>
                <w:rFonts w:ascii="宋体" w:hAnsi="宋体"/>
                <w:color w:val="auto"/>
              </w:rPr>
            </w:pPr>
          </w:p>
        </w:tc>
        <w:tc>
          <w:tcPr>
            <w:tcW w:w="1392"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c>
          <w:tcPr>
            <w:tcW w:w="1137" w:type="dxa"/>
            <w:vAlign w:val="center"/>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5" w:type="dxa"/>
          </w:tcPr>
          <w:p>
            <w:pPr>
              <w:spacing w:line="440" w:lineRule="exact"/>
              <w:jc w:val="center"/>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5" w:type="dxa"/>
          </w:tcPr>
          <w:p>
            <w:pPr>
              <w:spacing w:line="440" w:lineRule="exact"/>
              <w:rPr>
                <w:rFonts w:ascii="宋体" w:hAnsi="宋体"/>
                <w:color w:val="auto"/>
              </w:rPr>
            </w:pPr>
          </w:p>
        </w:tc>
        <w:tc>
          <w:tcPr>
            <w:tcW w:w="1392"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c>
          <w:tcPr>
            <w:tcW w:w="1137" w:type="dxa"/>
          </w:tcPr>
          <w:p>
            <w:pPr>
              <w:spacing w:line="440" w:lineRule="exact"/>
              <w:jc w:val="center"/>
              <w:rPr>
                <w:rFonts w:ascii="宋体" w:hAnsi="宋体"/>
                <w:color w:val="auto"/>
              </w:rPr>
            </w:pPr>
          </w:p>
        </w:tc>
      </w:tr>
    </w:tbl>
    <w:p>
      <w:pPr>
        <w:pStyle w:val="23"/>
        <w:rPr>
          <w:rFonts w:ascii="宋体" w:hAnsi="宋体"/>
          <w:color w:val="auto"/>
        </w:rPr>
      </w:pPr>
      <w:bookmarkStart w:id="2149" w:name="_Toc246996367"/>
      <w:bookmarkStart w:id="2150" w:name="_Toc246997110"/>
      <w:bookmarkStart w:id="2151" w:name="_Toc152042589"/>
      <w:bookmarkStart w:id="2152" w:name="_Toc179632820"/>
      <w:bookmarkStart w:id="2153" w:name="_Toc152045800"/>
      <w:bookmarkStart w:id="2154" w:name="_Toc144974868"/>
    </w:p>
    <w:p>
      <w:pPr>
        <w:rPr>
          <w:b/>
          <w:color w:val="auto"/>
        </w:rPr>
      </w:pPr>
      <w:r>
        <w:rPr>
          <w:color w:val="auto"/>
        </w:rPr>
        <w:br w:type="page"/>
      </w:r>
      <w:bookmarkStart w:id="2155" w:name="_Toc1336"/>
      <w:bookmarkStart w:id="2156" w:name="_Toc25836"/>
      <w:bookmarkStart w:id="2157" w:name="_Toc2579"/>
      <w:bookmarkStart w:id="2158" w:name="_Toc19538"/>
      <w:bookmarkStart w:id="2159" w:name="_Toc247085885"/>
      <w:bookmarkStart w:id="2160" w:name="_Toc4078448"/>
      <w:bookmarkStart w:id="2161" w:name="_Toc13505"/>
      <w:bookmarkStart w:id="2162" w:name="_Toc29307"/>
      <w:bookmarkStart w:id="2163" w:name="_Toc29456"/>
      <w:r>
        <w:rPr>
          <w:rFonts w:hint="eastAsia"/>
          <w:b/>
          <w:color w:val="auto"/>
          <w:sz w:val="24"/>
        </w:rPr>
        <w:t>附表三：进度计划</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1. 投标人应递交施工进度网络图或施工进度表，说明按招标文件要求的计划工期进行施工的各个关键日期。</w:t>
      </w:r>
    </w:p>
    <w:p>
      <w:pPr>
        <w:spacing w:line="360" w:lineRule="auto"/>
        <w:ind w:firstLine="480" w:firstLineChars="200"/>
        <w:rPr>
          <w:rFonts w:ascii="宋体" w:hAnsi="宋体" w:cs="宋体"/>
          <w:color w:val="auto"/>
          <w:sz w:val="24"/>
        </w:rPr>
      </w:pPr>
      <w:r>
        <w:rPr>
          <w:rFonts w:hint="eastAsia" w:ascii="宋体" w:hAnsi="宋体" w:cs="宋体"/>
          <w:color w:val="auto"/>
          <w:sz w:val="24"/>
        </w:rPr>
        <w:t>2. 施工进度表可采用网络图或横道图表示。</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440" w:lineRule="exact"/>
        <w:rPr>
          <w:rFonts w:ascii="宋体" w:hAnsi="宋体"/>
          <w:color w:val="auto"/>
          <w:sz w:val="20"/>
        </w:rPr>
      </w:pPr>
    </w:p>
    <w:p>
      <w:pPr>
        <w:spacing w:line="440" w:lineRule="exact"/>
        <w:rPr>
          <w:rFonts w:ascii="宋体" w:hAnsi="宋体"/>
          <w:color w:val="auto"/>
          <w:sz w:val="20"/>
        </w:rPr>
      </w:pPr>
    </w:p>
    <w:p>
      <w:pPr>
        <w:spacing w:line="440" w:lineRule="exact"/>
        <w:rPr>
          <w:rFonts w:ascii="宋体" w:hAnsi="宋体"/>
          <w:color w:val="auto"/>
          <w:sz w:val="20"/>
        </w:rPr>
      </w:pPr>
    </w:p>
    <w:p>
      <w:pPr>
        <w:rPr>
          <w:b/>
          <w:color w:val="auto"/>
        </w:rPr>
      </w:pPr>
      <w:r>
        <w:rPr>
          <w:color w:val="auto"/>
          <w:sz w:val="20"/>
        </w:rPr>
        <w:br w:type="page"/>
      </w:r>
      <w:bookmarkStart w:id="2164" w:name="_Toc13783"/>
      <w:bookmarkStart w:id="2165" w:name="_Toc16523"/>
      <w:bookmarkStart w:id="2166" w:name="_Toc14814"/>
      <w:bookmarkStart w:id="2167" w:name="_Toc152042590"/>
      <w:bookmarkStart w:id="2168" w:name="_Toc144974869"/>
      <w:bookmarkStart w:id="2169" w:name="_Toc9345"/>
      <w:bookmarkStart w:id="2170" w:name="_Toc152045801"/>
      <w:bookmarkStart w:id="2171" w:name="_Toc9574"/>
      <w:bookmarkStart w:id="2172" w:name="_Toc246997111"/>
      <w:bookmarkStart w:id="2173" w:name="_Toc246996368"/>
      <w:bookmarkStart w:id="2174" w:name="_Toc9391"/>
      <w:bookmarkStart w:id="2175" w:name="_Toc247085886"/>
      <w:bookmarkStart w:id="2176" w:name="_Toc179632821"/>
      <w:bookmarkStart w:id="2177" w:name="_Toc32125"/>
      <w:bookmarkStart w:id="2178" w:name="_Toc4078449"/>
      <w:r>
        <w:rPr>
          <w:rFonts w:hint="eastAsia"/>
          <w:b/>
          <w:color w:val="auto"/>
          <w:sz w:val="24"/>
        </w:rPr>
        <w:t>附表四：施工总平面图</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pPr>
        <w:spacing w:line="360" w:lineRule="auto"/>
        <w:jc w:val="center"/>
        <w:rPr>
          <w:rFonts w:ascii="宋体" w:hAnsi="宋体"/>
          <w:b/>
          <w:color w:val="auto"/>
          <w:sz w:val="24"/>
        </w:rPr>
      </w:pPr>
    </w:p>
    <w:p>
      <w:pPr>
        <w:spacing w:line="360" w:lineRule="auto"/>
        <w:ind w:firstLine="480" w:firstLineChars="200"/>
        <w:jc w:val="left"/>
        <w:rPr>
          <w:rFonts w:ascii="宋体" w:hAnsi="宋体"/>
          <w:color w:val="auto"/>
          <w:sz w:val="24"/>
        </w:rPr>
      </w:pPr>
      <w:r>
        <w:rPr>
          <w:rFonts w:hint="eastAsia" w:ascii="宋体" w:hAnsi="宋体"/>
          <w:color w:val="auto"/>
          <w:sz w:val="24"/>
        </w:rPr>
        <w:t>投标人应递交一份施工总平面图，绘出现场临时设施布置图表，并注明临时设施、加工车间、现场办公、设备及仓储、供电、供水、卫生、生活、道路、消防等设施的情况和布置。</w:t>
      </w:r>
    </w:p>
    <w:p>
      <w:pPr>
        <w:spacing w:line="360" w:lineRule="auto"/>
        <w:ind w:firstLine="420" w:firstLineChars="200"/>
        <w:jc w:val="right"/>
        <w:rPr>
          <w:rFonts w:ascii="宋体" w:hAnsi="宋体"/>
          <w:color w:val="auto"/>
          <w:sz w:val="20"/>
        </w:rPr>
      </w:pPr>
      <w:r>
        <w:rPr>
          <w:rFonts w:ascii="宋体" w:hAnsi="宋体"/>
          <w:color w:val="auto"/>
        </w:rPr>
        <w:br w:type="page"/>
      </w:r>
    </w:p>
    <w:p>
      <w:pPr>
        <w:spacing w:line="360" w:lineRule="auto"/>
        <w:rPr>
          <w:rFonts w:ascii="宋体" w:hAnsi="宋体"/>
          <w:color w:val="auto"/>
          <w:sz w:val="20"/>
        </w:rPr>
      </w:pPr>
    </w:p>
    <w:p>
      <w:pPr>
        <w:spacing w:line="360" w:lineRule="auto"/>
        <w:jc w:val="center"/>
        <w:rPr>
          <w:rFonts w:ascii="宋体" w:hAnsi="宋体"/>
          <w:color w:val="auto"/>
          <w:sz w:val="36"/>
        </w:rPr>
      </w:pPr>
      <w:r>
        <w:rPr>
          <w:rFonts w:ascii="宋体" w:hAnsi="宋体"/>
          <w:color w:val="auto"/>
          <w:sz w:val="36"/>
          <w:u w:val="single"/>
        </w:rPr>
        <w:t xml:space="preserve">                </w:t>
      </w:r>
      <w:r>
        <w:rPr>
          <w:rFonts w:hint="eastAsia" w:ascii="宋体" w:hAnsi="宋体"/>
          <w:color w:val="auto"/>
          <w:sz w:val="36"/>
        </w:rPr>
        <w:t>（项目名称）</w:t>
      </w:r>
      <w:r>
        <w:rPr>
          <w:rFonts w:hint="eastAsia" w:ascii="宋体" w:hAnsi="宋体"/>
          <w:color w:val="auto"/>
          <w:sz w:val="36"/>
          <w:szCs w:val="36"/>
        </w:rPr>
        <w:t>施工招标</w:t>
      </w:r>
    </w:p>
    <w:p>
      <w:pPr>
        <w:spacing w:line="360" w:lineRule="auto"/>
        <w:jc w:val="center"/>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20"/>
        </w:rPr>
      </w:pPr>
    </w:p>
    <w:p>
      <w:pPr>
        <w:spacing w:line="360" w:lineRule="auto"/>
        <w:rPr>
          <w:rFonts w:ascii="宋体" w:hAnsi="宋体"/>
          <w:color w:val="auto"/>
          <w:sz w:val="20"/>
        </w:rPr>
      </w:pPr>
    </w:p>
    <w:p>
      <w:pPr>
        <w:spacing w:line="360" w:lineRule="auto"/>
        <w:jc w:val="center"/>
        <w:rPr>
          <w:rFonts w:ascii="宋体" w:hAnsi="宋体"/>
          <w:color w:val="auto"/>
          <w:sz w:val="84"/>
        </w:rPr>
      </w:pPr>
      <w:r>
        <w:rPr>
          <w:rFonts w:hint="eastAsia" w:ascii="宋体" w:hAnsi="宋体"/>
          <w:color w:val="auto"/>
          <w:sz w:val="84"/>
        </w:rPr>
        <w:t>投</w:t>
      </w:r>
      <w:r>
        <w:rPr>
          <w:rFonts w:ascii="宋体" w:hAnsi="宋体"/>
          <w:color w:val="auto"/>
          <w:sz w:val="84"/>
        </w:rPr>
        <w:t xml:space="preserve"> </w:t>
      </w:r>
      <w:r>
        <w:rPr>
          <w:rFonts w:hint="eastAsia" w:ascii="宋体" w:hAnsi="宋体"/>
          <w:color w:val="auto"/>
          <w:sz w:val="84"/>
        </w:rPr>
        <w:t>标</w:t>
      </w:r>
      <w:r>
        <w:rPr>
          <w:rFonts w:ascii="宋体" w:hAnsi="宋体"/>
          <w:color w:val="auto"/>
          <w:sz w:val="84"/>
        </w:rPr>
        <w:t xml:space="preserve"> </w:t>
      </w:r>
      <w:r>
        <w:rPr>
          <w:rFonts w:hint="eastAsia" w:ascii="宋体" w:hAnsi="宋体"/>
          <w:color w:val="auto"/>
          <w:sz w:val="84"/>
        </w:rPr>
        <w:t>文</w:t>
      </w:r>
      <w:r>
        <w:rPr>
          <w:rFonts w:ascii="宋体" w:hAnsi="宋体"/>
          <w:color w:val="auto"/>
          <w:sz w:val="84"/>
        </w:rPr>
        <w:t xml:space="preserve"> </w:t>
      </w:r>
      <w:r>
        <w:rPr>
          <w:rFonts w:hint="eastAsia" w:ascii="宋体" w:hAnsi="宋体"/>
          <w:color w:val="auto"/>
          <w:sz w:val="84"/>
        </w:rPr>
        <w:t>件</w:t>
      </w:r>
    </w:p>
    <w:p>
      <w:pPr>
        <w:spacing w:line="360" w:lineRule="auto"/>
        <w:jc w:val="center"/>
        <w:outlineLvl w:val="1"/>
        <w:rPr>
          <w:rFonts w:ascii="宋体" w:hAnsi="宋体"/>
          <w:b/>
          <w:color w:val="auto"/>
          <w:sz w:val="32"/>
        </w:rPr>
      </w:pPr>
      <w:bookmarkStart w:id="2179" w:name="_Toc1558"/>
      <w:bookmarkStart w:id="2180" w:name="_Toc29423"/>
      <w:bookmarkStart w:id="2181" w:name="_Toc124613064"/>
      <w:r>
        <w:rPr>
          <w:rFonts w:hint="eastAsia" w:ascii="宋体" w:hAnsi="宋体"/>
          <w:b/>
          <w:color w:val="auto"/>
          <w:sz w:val="32"/>
        </w:rPr>
        <w:t>（</w:t>
      </w:r>
      <w:r>
        <w:rPr>
          <w:rFonts w:hint="eastAsia" w:ascii="宋体" w:hAnsi="宋体"/>
          <w:b/>
          <w:color w:val="auto"/>
          <w:sz w:val="28"/>
        </w:rPr>
        <w:t>第三册</w:t>
      </w:r>
      <w:r>
        <w:rPr>
          <w:rFonts w:ascii="宋体" w:hAnsi="宋体"/>
          <w:b/>
          <w:color w:val="auto"/>
          <w:sz w:val="28"/>
        </w:rPr>
        <w:t xml:space="preserve"> </w:t>
      </w:r>
      <w:r>
        <w:rPr>
          <w:rFonts w:hint="eastAsia" w:ascii="宋体" w:hAnsi="宋体"/>
          <w:b/>
          <w:color w:val="auto"/>
          <w:sz w:val="28"/>
        </w:rPr>
        <w:t>已标价工程量清单</w:t>
      </w:r>
      <w:r>
        <w:rPr>
          <w:rFonts w:hint="eastAsia" w:ascii="宋体" w:hAnsi="宋体"/>
          <w:b/>
          <w:color w:val="auto"/>
          <w:sz w:val="32"/>
        </w:rPr>
        <w:t>）</w:t>
      </w:r>
      <w:bookmarkEnd w:id="2179"/>
      <w:bookmarkEnd w:id="2180"/>
      <w:bookmarkEnd w:id="2181"/>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ind w:firstLine="1120" w:firstLineChars="400"/>
        <w:jc w:val="left"/>
        <w:rPr>
          <w:rFonts w:ascii="宋体" w:hAnsi="宋体"/>
          <w:color w:val="auto"/>
          <w:sz w:val="28"/>
          <w:u w:val="single"/>
        </w:rPr>
      </w:pPr>
      <w:r>
        <w:rPr>
          <w:rFonts w:hint="eastAsia" w:ascii="宋体" w:hAnsi="宋体"/>
          <w:color w:val="auto"/>
          <w:sz w:val="28"/>
        </w:rPr>
        <w:t>投标人：（盖单位章）</w:t>
      </w:r>
      <w:r>
        <w:rPr>
          <w:rFonts w:ascii="宋体" w:hAnsi="宋体"/>
          <w:color w:val="auto"/>
          <w:sz w:val="28"/>
          <w:u w:val="single"/>
        </w:rPr>
        <w:t xml:space="preserve">                              </w:t>
      </w:r>
    </w:p>
    <w:p>
      <w:pPr>
        <w:spacing w:line="360" w:lineRule="auto"/>
        <w:ind w:firstLine="1120" w:firstLineChars="400"/>
        <w:jc w:val="left"/>
        <w:rPr>
          <w:rFonts w:ascii="宋体" w:hAnsi="宋体"/>
          <w:color w:val="auto"/>
          <w:sz w:val="28"/>
          <w:u w:val="single"/>
        </w:rPr>
      </w:pPr>
    </w:p>
    <w:p>
      <w:pPr>
        <w:spacing w:line="360" w:lineRule="auto"/>
        <w:ind w:firstLine="1120" w:firstLineChars="400"/>
        <w:jc w:val="left"/>
        <w:rPr>
          <w:rFonts w:ascii="宋体" w:hAnsi="宋体"/>
          <w:color w:val="auto"/>
          <w:sz w:val="28"/>
          <w:u w:val="single"/>
        </w:rPr>
      </w:pPr>
      <w:r>
        <w:rPr>
          <w:rFonts w:hint="eastAsia" w:ascii="宋体" w:hAnsi="宋体"/>
          <w:color w:val="auto"/>
          <w:sz w:val="28"/>
        </w:rPr>
        <w:t>法定代表人或其委托代理人：（亲笔签名）</w:t>
      </w:r>
      <w:r>
        <w:rPr>
          <w:rFonts w:ascii="宋体" w:hAnsi="宋体"/>
          <w:color w:val="auto"/>
          <w:sz w:val="28"/>
          <w:u w:val="single"/>
        </w:rPr>
        <w:t xml:space="preserve">            </w:t>
      </w:r>
    </w:p>
    <w:p>
      <w:pPr>
        <w:spacing w:line="360" w:lineRule="auto"/>
        <w:ind w:firstLine="1120" w:firstLineChars="400"/>
        <w:jc w:val="left"/>
        <w:rPr>
          <w:rFonts w:ascii="宋体" w:hAnsi="宋体"/>
          <w:color w:val="auto"/>
          <w:sz w:val="28"/>
          <w:u w:val="single"/>
        </w:rPr>
      </w:pPr>
    </w:p>
    <w:p>
      <w:pPr>
        <w:spacing w:line="360" w:lineRule="auto"/>
        <w:ind w:firstLine="1120" w:firstLineChars="400"/>
        <w:jc w:val="left"/>
        <w:rPr>
          <w:rFonts w:ascii="宋体" w:hAnsi="宋体"/>
          <w:color w:val="auto"/>
          <w:sz w:val="28"/>
          <w:u w:val="single"/>
        </w:rPr>
      </w:pPr>
      <w:r>
        <w:rPr>
          <w:rFonts w:hint="eastAsia" w:ascii="宋体" w:hAnsi="宋体"/>
          <w:color w:val="auto"/>
          <w:sz w:val="28"/>
        </w:rPr>
        <w:t>项目负责人：（亲笔签名）</w:t>
      </w:r>
      <w:r>
        <w:rPr>
          <w:rFonts w:ascii="宋体" w:hAnsi="宋体"/>
          <w:color w:val="auto"/>
          <w:sz w:val="28"/>
          <w:u w:val="single"/>
        </w:rPr>
        <w:t xml:space="preserve">                          </w:t>
      </w:r>
    </w:p>
    <w:p>
      <w:pPr>
        <w:spacing w:line="360" w:lineRule="auto"/>
        <w:ind w:firstLine="1120" w:firstLineChars="400"/>
        <w:jc w:val="left"/>
        <w:rPr>
          <w:rFonts w:ascii="宋体" w:hAnsi="宋体"/>
          <w:color w:val="auto"/>
          <w:sz w:val="28"/>
          <w:u w:val="single"/>
        </w:rPr>
      </w:pPr>
    </w:p>
    <w:p>
      <w:pPr>
        <w:spacing w:line="360" w:lineRule="auto"/>
        <w:ind w:firstLine="1120" w:firstLineChars="400"/>
        <w:jc w:val="left"/>
        <w:rPr>
          <w:rFonts w:ascii="宋体" w:hAnsi="宋体"/>
          <w:color w:val="auto"/>
          <w:sz w:val="28"/>
          <w:u w:val="single"/>
        </w:rPr>
      </w:pPr>
      <w:r>
        <w:rPr>
          <w:rFonts w:hint="eastAsia" w:ascii="宋体" w:hAnsi="宋体"/>
          <w:color w:val="auto"/>
          <w:sz w:val="28"/>
        </w:rPr>
        <w:t>技术负责人：（亲笔签名）</w:t>
      </w:r>
      <w:r>
        <w:rPr>
          <w:rFonts w:ascii="宋体" w:hAnsi="宋体"/>
          <w:color w:val="auto"/>
          <w:sz w:val="28"/>
          <w:u w:val="single"/>
        </w:rPr>
        <w:t xml:space="preserve">                          </w:t>
      </w:r>
    </w:p>
    <w:p>
      <w:pPr>
        <w:spacing w:line="360" w:lineRule="auto"/>
        <w:ind w:firstLine="1120" w:firstLineChars="400"/>
        <w:jc w:val="left"/>
        <w:rPr>
          <w:rFonts w:ascii="宋体" w:hAnsi="宋体"/>
          <w:color w:val="auto"/>
          <w:sz w:val="28"/>
          <w:u w:val="single"/>
        </w:rPr>
      </w:pPr>
    </w:p>
    <w:p>
      <w:pPr>
        <w:spacing w:line="360" w:lineRule="auto"/>
        <w:jc w:val="center"/>
        <w:rPr>
          <w:rFonts w:ascii="宋体" w:hAnsi="宋体"/>
          <w:color w:val="auto"/>
          <w:sz w:val="20"/>
        </w:rPr>
      </w:pPr>
      <w:r>
        <w:rPr>
          <w:rFonts w:ascii="宋体" w:hAnsi="宋体"/>
          <w:color w:val="auto"/>
          <w:sz w:val="28"/>
          <w:u w:val="single"/>
        </w:rPr>
        <w:t xml:space="preserve">        </w:t>
      </w:r>
      <w:r>
        <w:rPr>
          <w:rFonts w:hint="eastAsia" w:ascii="宋体" w:hAnsi="宋体"/>
          <w:color w:val="auto"/>
          <w:sz w:val="28"/>
        </w:rPr>
        <w:t>年</w:t>
      </w:r>
      <w:r>
        <w:rPr>
          <w:rFonts w:ascii="宋体" w:hAnsi="宋体"/>
          <w:color w:val="auto"/>
          <w:sz w:val="28"/>
          <w:u w:val="single"/>
        </w:rPr>
        <w:t xml:space="preserve">        </w:t>
      </w:r>
      <w:r>
        <w:rPr>
          <w:rFonts w:hint="eastAsia" w:ascii="宋体" w:hAnsi="宋体"/>
          <w:color w:val="auto"/>
          <w:sz w:val="28"/>
        </w:rPr>
        <w:t>月</w:t>
      </w:r>
      <w:r>
        <w:rPr>
          <w:rFonts w:ascii="宋体" w:hAnsi="宋体"/>
          <w:color w:val="auto"/>
          <w:sz w:val="28"/>
          <w:u w:val="single"/>
        </w:rPr>
        <w:t xml:space="preserve">        </w:t>
      </w:r>
      <w:r>
        <w:rPr>
          <w:rFonts w:hint="eastAsia" w:ascii="宋体" w:hAnsi="宋体"/>
          <w:color w:val="auto"/>
          <w:sz w:val="28"/>
        </w:rPr>
        <w:t>日</w:t>
      </w:r>
    </w:p>
    <w:p>
      <w:pPr>
        <w:rPr>
          <w:rFonts w:ascii="宋体" w:hAnsi="宋体"/>
          <w:color w:val="auto"/>
        </w:rPr>
      </w:pPr>
      <w:bookmarkStart w:id="2182" w:name="_Toc246997106"/>
      <w:bookmarkStart w:id="2183" w:name="_Toc246996363"/>
      <w:bookmarkStart w:id="2184" w:name="_Toc152045795"/>
      <w:bookmarkStart w:id="2185" w:name="_Toc144974863"/>
      <w:bookmarkStart w:id="2186" w:name="_Toc179632815"/>
      <w:bookmarkStart w:id="2187" w:name="_Toc247085881"/>
      <w:bookmarkStart w:id="2188" w:name="_Toc152042584"/>
    </w:p>
    <w:p>
      <w:pPr>
        <w:spacing w:line="360" w:lineRule="auto"/>
        <w:rPr>
          <w:rFonts w:ascii="宋体" w:hAnsi="宋体" w:cs="宋体"/>
          <w:b/>
          <w:bCs/>
          <w:color w:val="auto"/>
          <w:sz w:val="24"/>
        </w:rPr>
      </w:pPr>
      <w:r>
        <w:rPr>
          <w:rFonts w:hint="eastAsia" w:ascii="宋体" w:hAnsi="宋体" w:cs="宋体"/>
          <w:b/>
          <w:bCs/>
          <w:color w:val="auto"/>
          <w:szCs w:val="21"/>
        </w:rPr>
        <w:br w:type="page"/>
      </w:r>
      <w:r>
        <w:rPr>
          <w:rFonts w:hint="eastAsia" w:ascii="宋体" w:hAnsi="宋体" w:cs="宋体"/>
          <w:b/>
          <w:bCs/>
          <w:color w:val="auto"/>
          <w:sz w:val="24"/>
        </w:rPr>
        <w:t>说明：1、已标价工程量清单</w:t>
      </w:r>
      <w:bookmarkEnd w:id="2182"/>
      <w:bookmarkEnd w:id="2183"/>
      <w:bookmarkEnd w:id="2184"/>
      <w:bookmarkEnd w:id="2185"/>
      <w:bookmarkEnd w:id="2186"/>
      <w:bookmarkEnd w:id="2187"/>
      <w:bookmarkEnd w:id="2188"/>
      <w:r>
        <w:rPr>
          <w:rFonts w:hint="eastAsia" w:ascii="宋体" w:hAnsi="宋体" w:cs="宋体"/>
          <w:b/>
          <w:bCs/>
          <w:color w:val="auto"/>
          <w:sz w:val="24"/>
        </w:rPr>
        <w:t>以XML2.0文件导出的报表格式为准。</w:t>
      </w:r>
    </w:p>
    <w:p>
      <w:pPr>
        <w:spacing w:line="360" w:lineRule="auto"/>
        <w:rPr>
          <w:rFonts w:ascii="宋体" w:hAnsi="宋体" w:cs="宋体"/>
          <w:b/>
          <w:bCs/>
          <w:color w:val="auto"/>
          <w:sz w:val="24"/>
        </w:rPr>
      </w:pPr>
      <w:r>
        <w:rPr>
          <w:rFonts w:hint="eastAsia" w:ascii="宋体" w:hAnsi="宋体" w:cs="宋体"/>
          <w:b/>
          <w:bCs/>
          <w:color w:val="auto"/>
          <w:sz w:val="24"/>
        </w:rPr>
        <w:t>2、已标价工程量清单投标文件只需上传XML2.0格式电子标书，不需要加盖电子签章和电子签名。</w:t>
      </w:r>
    </w:p>
    <w:p>
      <w:pPr>
        <w:spacing w:line="360" w:lineRule="auto"/>
        <w:rPr>
          <w:rFonts w:ascii="宋体" w:hAnsi="宋体" w:cs="宋体"/>
          <w:b/>
          <w:bCs/>
          <w:color w:val="auto"/>
          <w:sz w:val="24"/>
        </w:rPr>
      </w:pPr>
      <w:r>
        <w:rPr>
          <w:rFonts w:hint="eastAsia" w:ascii="宋体" w:hAnsi="宋体" w:cs="宋体"/>
          <w:b/>
          <w:bCs/>
          <w:color w:val="auto"/>
          <w:sz w:val="24"/>
        </w:rPr>
        <w:t>3、投标人根据招标人提供的由咨询机构编制的工程量清单，编制工程量清单投标文件，其中工程量清单投标书的内容包括：投标总价、单位工程费汇总表、分部分项工程量清单与计价表、分部分项工程量清单综合单价计价表、措施项目清单与计价表（一）、措施项目清单与计价表（二）、其他项目清单与计价汇总表、暂列金额明细表、材料暂估价单价表、专业工程暂估价表、计日工表、总承包服务费计价表、规费和税金项目计算表、主要材料设备价格表、评标指定材料表。</w:t>
      </w:r>
    </w:p>
    <w:p>
      <w:pPr>
        <w:spacing w:line="360" w:lineRule="auto"/>
        <w:jc w:val="center"/>
        <w:rPr>
          <w:rFonts w:ascii="宋体" w:hAnsi="宋体"/>
          <w:color w:val="auto"/>
        </w:rPr>
      </w:pPr>
    </w:p>
    <w:sectPr>
      <w:footerReference r:id="rId4" w:type="default"/>
      <w:pgSz w:w="11905" w:h="16838"/>
      <w:pgMar w:top="1417" w:right="1417" w:bottom="1417" w:left="1417" w:header="851" w:footer="850" w:gutter="0"/>
      <w:pgNumType w:start="1"/>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460758"/>
    </w:sdtPr>
    <w:sdtContent>
      <w:p>
        <w:pPr>
          <w:pStyle w:val="29"/>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456721"/>
    </w:sdtPr>
    <w:sdtContent>
      <w:p>
        <w:pPr>
          <w:pStyle w:val="29"/>
          <w:jc w:val="center"/>
          <w:rPr>
            <w:rStyle w:val="51"/>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363B1"/>
    <w:multiLevelType w:val="multilevel"/>
    <w:tmpl w:val="530363B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2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ODQ2MDljNmQxMDRjYjYyM2U3NmEzOTc4NDA1NzgifQ=="/>
  </w:docVars>
  <w:rsids>
    <w:rsidRoot w:val="00172A27"/>
    <w:rsid w:val="00003532"/>
    <w:rsid w:val="00006384"/>
    <w:rsid w:val="00006A05"/>
    <w:rsid w:val="00010296"/>
    <w:rsid w:val="0001737D"/>
    <w:rsid w:val="00023464"/>
    <w:rsid w:val="00035D13"/>
    <w:rsid w:val="00037ED0"/>
    <w:rsid w:val="0004754B"/>
    <w:rsid w:val="00047AF1"/>
    <w:rsid w:val="000505AA"/>
    <w:rsid w:val="000542BB"/>
    <w:rsid w:val="00054CB4"/>
    <w:rsid w:val="00073430"/>
    <w:rsid w:val="00076375"/>
    <w:rsid w:val="00080B2F"/>
    <w:rsid w:val="00091B86"/>
    <w:rsid w:val="000A7BA2"/>
    <w:rsid w:val="000C0386"/>
    <w:rsid w:val="000C40B7"/>
    <w:rsid w:val="000C4A00"/>
    <w:rsid w:val="000C75C7"/>
    <w:rsid w:val="000D164F"/>
    <w:rsid w:val="000D47C8"/>
    <w:rsid w:val="000E170B"/>
    <w:rsid w:val="000E4189"/>
    <w:rsid w:val="000E58C5"/>
    <w:rsid w:val="000F0A72"/>
    <w:rsid w:val="000F694B"/>
    <w:rsid w:val="00101153"/>
    <w:rsid w:val="001046B8"/>
    <w:rsid w:val="00104DAB"/>
    <w:rsid w:val="0010597B"/>
    <w:rsid w:val="0010774C"/>
    <w:rsid w:val="00116F2C"/>
    <w:rsid w:val="001461A6"/>
    <w:rsid w:val="00150F3E"/>
    <w:rsid w:val="001510AD"/>
    <w:rsid w:val="0015533C"/>
    <w:rsid w:val="001564F4"/>
    <w:rsid w:val="0016112C"/>
    <w:rsid w:val="00172A27"/>
    <w:rsid w:val="001904DB"/>
    <w:rsid w:val="00192E40"/>
    <w:rsid w:val="001B30B6"/>
    <w:rsid w:val="001C0AEE"/>
    <w:rsid w:val="001D5811"/>
    <w:rsid w:val="001D62C2"/>
    <w:rsid w:val="001D704A"/>
    <w:rsid w:val="001E140D"/>
    <w:rsid w:val="001E1B2F"/>
    <w:rsid w:val="001E75A2"/>
    <w:rsid w:val="001F668B"/>
    <w:rsid w:val="001F6C19"/>
    <w:rsid w:val="001F6D1E"/>
    <w:rsid w:val="00202821"/>
    <w:rsid w:val="00204804"/>
    <w:rsid w:val="00206837"/>
    <w:rsid w:val="00212EEB"/>
    <w:rsid w:val="0021341F"/>
    <w:rsid w:val="0021637D"/>
    <w:rsid w:val="002170BA"/>
    <w:rsid w:val="0022021A"/>
    <w:rsid w:val="0022271A"/>
    <w:rsid w:val="00231B1A"/>
    <w:rsid w:val="0023435C"/>
    <w:rsid w:val="002371C2"/>
    <w:rsid w:val="00237201"/>
    <w:rsid w:val="002428C6"/>
    <w:rsid w:val="002438AE"/>
    <w:rsid w:val="00245A4E"/>
    <w:rsid w:val="00245CDB"/>
    <w:rsid w:val="002513C6"/>
    <w:rsid w:val="00271336"/>
    <w:rsid w:val="00273082"/>
    <w:rsid w:val="0027446E"/>
    <w:rsid w:val="00275CE2"/>
    <w:rsid w:val="00297BCC"/>
    <w:rsid w:val="002A09DB"/>
    <w:rsid w:val="002A4B90"/>
    <w:rsid w:val="002A57C1"/>
    <w:rsid w:val="002B53F1"/>
    <w:rsid w:val="002B58AD"/>
    <w:rsid w:val="002B5E28"/>
    <w:rsid w:val="002C0319"/>
    <w:rsid w:val="002C1336"/>
    <w:rsid w:val="002C641B"/>
    <w:rsid w:val="002C684E"/>
    <w:rsid w:val="002D30DF"/>
    <w:rsid w:val="002D38BE"/>
    <w:rsid w:val="002D4BBC"/>
    <w:rsid w:val="002D5EE2"/>
    <w:rsid w:val="002D6215"/>
    <w:rsid w:val="002D693B"/>
    <w:rsid w:val="002F2D85"/>
    <w:rsid w:val="002F3DAE"/>
    <w:rsid w:val="002F5FBC"/>
    <w:rsid w:val="00303994"/>
    <w:rsid w:val="00304222"/>
    <w:rsid w:val="00315599"/>
    <w:rsid w:val="003209EF"/>
    <w:rsid w:val="00320DD8"/>
    <w:rsid w:val="00325A24"/>
    <w:rsid w:val="0032689E"/>
    <w:rsid w:val="003365B4"/>
    <w:rsid w:val="003427F9"/>
    <w:rsid w:val="003437DF"/>
    <w:rsid w:val="00343CD6"/>
    <w:rsid w:val="00345149"/>
    <w:rsid w:val="003509BB"/>
    <w:rsid w:val="00353734"/>
    <w:rsid w:val="00362A3B"/>
    <w:rsid w:val="003632F5"/>
    <w:rsid w:val="00370DB8"/>
    <w:rsid w:val="00380A3E"/>
    <w:rsid w:val="00381C39"/>
    <w:rsid w:val="00383C1B"/>
    <w:rsid w:val="0038488D"/>
    <w:rsid w:val="00385973"/>
    <w:rsid w:val="0038763E"/>
    <w:rsid w:val="00392F4E"/>
    <w:rsid w:val="00397F0E"/>
    <w:rsid w:val="003B391A"/>
    <w:rsid w:val="003C431E"/>
    <w:rsid w:val="003D3467"/>
    <w:rsid w:val="003E20A1"/>
    <w:rsid w:val="003E38B2"/>
    <w:rsid w:val="003E69BD"/>
    <w:rsid w:val="003F1617"/>
    <w:rsid w:val="003F7EF3"/>
    <w:rsid w:val="00400E70"/>
    <w:rsid w:val="00405E4D"/>
    <w:rsid w:val="00410041"/>
    <w:rsid w:val="0041255D"/>
    <w:rsid w:val="004153F0"/>
    <w:rsid w:val="00415960"/>
    <w:rsid w:val="004168F3"/>
    <w:rsid w:val="0042647A"/>
    <w:rsid w:val="00442AD7"/>
    <w:rsid w:val="004543F0"/>
    <w:rsid w:val="004716CB"/>
    <w:rsid w:val="00471FDD"/>
    <w:rsid w:val="00474800"/>
    <w:rsid w:val="00490A1F"/>
    <w:rsid w:val="00492C9A"/>
    <w:rsid w:val="004936DF"/>
    <w:rsid w:val="004945E6"/>
    <w:rsid w:val="00495EEF"/>
    <w:rsid w:val="0049736A"/>
    <w:rsid w:val="004A133F"/>
    <w:rsid w:val="004A558D"/>
    <w:rsid w:val="004B44A9"/>
    <w:rsid w:val="004B6180"/>
    <w:rsid w:val="004B7D07"/>
    <w:rsid w:val="004C32CB"/>
    <w:rsid w:val="004C4165"/>
    <w:rsid w:val="004C7246"/>
    <w:rsid w:val="004D1FC5"/>
    <w:rsid w:val="004D417A"/>
    <w:rsid w:val="004D47D4"/>
    <w:rsid w:val="004D610D"/>
    <w:rsid w:val="004D6D25"/>
    <w:rsid w:val="004E01DF"/>
    <w:rsid w:val="004E491E"/>
    <w:rsid w:val="004F1A35"/>
    <w:rsid w:val="004F24EE"/>
    <w:rsid w:val="004F3FDF"/>
    <w:rsid w:val="0050083A"/>
    <w:rsid w:val="00500AB6"/>
    <w:rsid w:val="00510136"/>
    <w:rsid w:val="00517F4C"/>
    <w:rsid w:val="00521F53"/>
    <w:rsid w:val="0053733B"/>
    <w:rsid w:val="005437F7"/>
    <w:rsid w:val="005552B6"/>
    <w:rsid w:val="0055547C"/>
    <w:rsid w:val="00560573"/>
    <w:rsid w:val="005637FE"/>
    <w:rsid w:val="00567203"/>
    <w:rsid w:val="00572B99"/>
    <w:rsid w:val="0057477A"/>
    <w:rsid w:val="00587218"/>
    <w:rsid w:val="00587A39"/>
    <w:rsid w:val="00590BDD"/>
    <w:rsid w:val="005955C2"/>
    <w:rsid w:val="005A3557"/>
    <w:rsid w:val="005B0B5B"/>
    <w:rsid w:val="005B49FD"/>
    <w:rsid w:val="005C36D4"/>
    <w:rsid w:val="005C5D1B"/>
    <w:rsid w:val="005C795C"/>
    <w:rsid w:val="005D4BBE"/>
    <w:rsid w:val="005D6D60"/>
    <w:rsid w:val="005D7DCD"/>
    <w:rsid w:val="005E0354"/>
    <w:rsid w:val="005E0F97"/>
    <w:rsid w:val="005E50F9"/>
    <w:rsid w:val="005F385D"/>
    <w:rsid w:val="005F38B9"/>
    <w:rsid w:val="005F5C12"/>
    <w:rsid w:val="005F7CC9"/>
    <w:rsid w:val="00602A53"/>
    <w:rsid w:val="00606121"/>
    <w:rsid w:val="0060662C"/>
    <w:rsid w:val="006119B4"/>
    <w:rsid w:val="00613DB8"/>
    <w:rsid w:val="00616C46"/>
    <w:rsid w:val="0062098A"/>
    <w:rsid w:val="00635DFD"/>
    <w:rsid w:val="00636D13"/>
    <w:rsid w:val="00647FB5"/>
    <w:rsid w:val="00652949"/>
    <w:rsid w:val="00654B47"/>
    <w:rsid w:val="00657551"/>
    <w:rsid w:val="00662BDE"/>
    <w:rsid w:val="0067242C"/>
    <w:rsid w:val="00672CED"/>
    <w:rsid w:val="00672DF0"/>
    <w:rsid w:val="00673F50"/>
    <w:rsid w:val="00676095"/>
    <w:rsid w:val="00676E2A"/>
    <w:rsid w:val="006800C0"/>
    <w:rsid w:val="006834CA"/>
    <w:rsid w:val="00684B2E"/>
    <w:rsid w:val="006904D4"/>
    <w:rsid w:val="006954F8"/>
    <w:rsid w:val="00696A02"/>
    <w:rsid w:val="006A14A5"/>
    <w:rsid w:val="006A40F4"/>
    <w:rsid w:val="006C3203"/>
    <w:rsid w:val="006C60BD"/>
    <w:rsid w:val="006D53D7"/>
    <w:rsid w:val="006D5B59"/>
    <w:rsid w:val="006D756C"/>
    <w:rsid w:val="006D7E76"/>
    <w:rsid w:val="006E67EA"/>
    <w:rsid w:val="006F4B31"/>
    <w:rsid w:val="006F75A7"/>
    <w:rsid w:val="00703529"/>
    <w:rsid w:val="00714592"/>
    <w:rsid w:val="00717240"/>
    <w:rsid w:val="00725C05"/>
    <w:rsid w:val="00726F70"/>
    <w:rsid w:val="007331C4"/>
    <w:rsid w:val="00733F28"/>
    <w:rsid w:val="007430BB"/>
    <w:rsid w:val="007432DD"/>
    <w:rsid w:val="007439E3"/>
    <w:rsid w:val="00747C19"/>
    <w:rsid w:val="00751DED"/>
    <w:rsid w:val="007552A5"/>
    <w:rsid w:val="00755DBC"/>
    <w:rsid w:val="00756933"/>
    <w:rsid w:val="00770D06"/>
    <w:rsid w:val="00774117"/>
    <w:rsid w:val="00774E55"/>
    <w:rsid w:val="007843D5"/>
    <w:rsid w:val="007940F4"/>
    <w:rsid w:val="0079412D"/>
    <w:rsid w:val="007A40FA"/>
    <w:rsid w:val="007A7C62"/>
    <w:rsid w:val="007B11E2"/>
    <w:rsid w:val="007B6614"/>
    <w:rsid w:val="007C32F8"/>
    <w:rsid w:val="007D0D9C"/>
    <w:rsid w:val="007D2D61"/>
    <w:rsid w:val="007E12FA"/>
    <w:rsid w:val="007E3C51"/>
    <w:rsid w:val="007E4CCB"/>
    <w:rsid w:val="007E7B2F"/>
    <w:rsid w:val="007F5975"/>
    <w:rsid w:val="007F66D3"/>
    <w:rsid w:val="00800258"/>
    <w:rsid w:val="00802650"/>
    <w:rsid w:val="008032FD"/>
    <w:rsid w:val="00807B28"/>
    <w:rsid w:val="00825871"/>
    <w:rsid w:val="008264EC"/>
    <w:rsid w:val="008329FF"/>
    <w:rsid w:val="00835C4E"/>
    <w:rsid w:val="00836E3D"/>
    <w:rsid w:val="008379D4"/>
    <w:rsid w:val="008401E3"/>
    <w:rsid w:val="008405C0"/>
    <w:rsid w:val="008562A2"/>
    <w:rsid w:val="008567D9"/>
    <w:rsid w:val="0086021B"/>
    <w:rsid w:val="00860E42"/>
    <w:rsid w:val="00863771"/>
    <w:rsid w:val="00871155"/>
    <w:rsid w:val="008738CC"/>
    <w:rsid w:val="00880540"/>
    <w:rsid w:val="008809E3"/>
    <w:rsid w:val="008902D6"/>
    <w:rsid w:val="00890C63"/>
    <w:rsid w:val="00895B0E"/>
    <w:rsid w:val="00897C88"/>
    <w:rsid w:val="008A0634"/>
    <w:rsid w:val="008A4127"/>
    <w:rsid w:val="008A6A3D"/>
    <w:rsid w:val="008C1A64"/>
    <w:rsid w:val="008C3765"/>
    <w:rsid w:val="008D28D4"/>
    <w:rsid w:val="008D5955"/>
    <w:rsid w:val="008E2E53"/>
    <w:rsid w:val="008E50E0"/>
    <w:rsid w:val="008E540F"/>
    <w:rsid w:val="008E7C58"/>
    <w:rsid w:val="008E7DFA"/>
    <w:rsid w:val="008F2485"/>
    <w:rsid w:val="009008A5"/>
    <w:rsid w:val="00911457"/>
    <w:rsid w:val="00921854"/>
    <w:rsid w:val="00926961"/>
    <w:rsid w:val="009326D3"/>
    <w:rsid w:val="009400AE"/>
    <w:rsid w:val="0094411D"/>
    <w:rsid w:val="00964A1E"/>
    <w:rsid w:val="0097277C"/>
    <w:rsid w:val="00973EC7"/>
    <w:rsid w:val="00975277"/>
    <w:rsid w:val="00976671"/>
    <w:rsid w:val="009873B8"/>
    <w:rsid w:val="0099024D"/>
    <w:rsid w:val="00993289"/>
    <w:rsid w:val="00993562"/>
    <w:rsid w:val="00994B76"/>
    <w:rsid w:val="00994ECB"/>
    <w:rsid w:val="009A6D3E"/>
    <w:rsid w:val="009B4A4F"/>
    <w:rsid w:val="009B646B"/>
    <w:rsid w:val="009B71E8"/>
    <w:rsid w:val="009C1593"/>
    <w:rsid w:val="009C3212"/>
    <w:rsid w:val="009C57EA"/>
    <w:rsid w:val="009D0B4C"/>
    <w:rsid w:val="009D2F30"/>
    <w:rsid w:val="009D4905"/>
    <w:rsid w:val="009E2469"/>
    <w:rsid w:val="009F1F2D"/>
    <w:rsid w:val="009F65C7"/>
    <w:rsid w:val="009F6BCA"/>
    <w:rsid w:val="00A00924"/>
    <w:rsid w:val="00A02417"/>
    <w:rsid w:val="00A06590"/>
    <w:rsid w:val="00A27DC8"/>
    <w:rsid w:val="00A31437"/>
    <w:rsid w:val="00A31E77"/>
    <w:rsid w:val="00A3235C"/>
    <w:rsid w:val="00A40D7D"/>
    <w:rsid w:val="00A44C48"/>
    <w:rsid w:val="00A658A2"/>
    <w:rsid w:val="00A658BA"/>
    <w:rsid w:val="00A67646"/>
    <w:rsid w:val="00A709A5"/>
    <w:rsid w:val="00A72176"/>
    <w:rsid w:val="00A82F38"/>
    <w:rsid w:val="00A83D97"/>
    <w:rsid w:val="00A91D68"/>
    <w:rsid w:val="00A92447"/>
    <w:rsid w:val="00A95492"/>
    <w:rsid w:val="00AA57F8"/>
    <w:rsid w:val="00AA5A6B"/>
    <w:rsid w:val="00AB07B0"/>
    <w:rsid w:val="00AB5191"/>
    <w:rsid w:val="00AC0470"/>
    <w:rsid w:val="00AC18F2"/>
    <w:rsid w:val="00AC4BF1"/>
    <w:rsid w:val="00AD3FDB"/>
    <w:rsid w:val="00AD4B2C"/>
    <w:rsid w:val="00AF3593"/>
    <w:rsid w:val="00B00B59"/>
    <w:rsid w:val="00B07A7B"/>
    <w:rsid w:val="00B1120F"/>
    <w:rsid w:val="00B13D2D"/>
    <w:rsid w:val="00B13FA4"/>
    <w:rsid w:val="00B1405A"/>
    <w:rsid w:val="00B173C6"/>
    <w:rsid w:val="00B23E41"/>
    <w:rsid w:val="00B2449D"/>
    <w:rsid w:val="00B31201"/>
    <w:rsid w:val="00B32076"/>
    <w:rsid w:val="00B33CEC"/>
    <w:rsid w:val="00B34608"/>
    <w:rsid w:val="00B3482D"/>
    <w:rsid w:val="00B37B71"/>
    <w:rsid w:val="00B405FF"/>
    <w:rsid w:val="00B408CF"/>
    <w:rsid w:val="00B51882"/>
    <w:rsid w:val="00B61972"/>
    <w:rsid w:val="00B651E1"/>
    <w:rsid w:val="00B672C0"/>
    <w:rsid w:val="00B700FA"/>
    <w:rsid w:val="00B70E26"/>
    <w:rsid w:val="00B72544"/>
    <w:rsid w:val="00B76316"/>
    <w:rsid w:val="00B8065D"/>
    <w:rsid w:val="00B81926"/>
    <w:rsid w:val="00B92378"/>
    <w:rsid w:val="00B94134"/>
    <w:rsid w:val="00B94677"/>
    <w:rsid w:val="00B97594"/>
    <w:rsid w:val="00B976BA"/>
    <w:rsid w:val="00BA0267"/>
    <w:rsid w:val="00BA785D"/>
    <w:rsid w:val="00BD0304"/>
    <w:rsid w:val="00BE1635"/>
    <w:rsid w:val="00BE16E1"/>
    <w:rsid w:val="00BE3D59"/>
    <w:rsid w:val="00BE7083"/>
    <w:rsid w:val="00BE7EB6"/>
    <w:rsid w:val="00BF42C7"/>
    <w:rsid w:val="00C01AE2"/>
    <w:rsid w:val="00C035B9"/>
    <w:rsid w:val="00C05AF8"/>
    <w:rsid w:val="00C178C3"/>
    <w:rsid w:val="00C30774"/>
    <w:rsid w:val="00C3120D"/>
    <w:rsid w:val="00C363F5"/>
    <w:rsid w:val="00C4282C"/>
    <w:rsid w:val="00C446F8"/>
    <w:rsid w:val="00C54055"/>
    <w:rsid w:val="00C777C1"/>
    <w:rsid w:val="00C87EA3"/>
    <w:rsid w:val="00C97178"/>
    <w:rsid w:val="00CA1B49"/>
    <w:rsid w:val="00CA2663"/>
    <w:rsid w:val="00CA7060"/>
    <w:rsid w:val="00CB4630"/>
    <w:rsid w:val="00CB692B"/>
    <w:rsid w:val="00CC11E4"/>
    <w:rsid w:val="00CC53F2"/>
    <w:rsid w:val="00CD119F"/>
    <w:rsid w:val="00CD55BB"/>
    <w:rsid w:val="00CD58C8"/>
    <w:rsid w:val="00CE7192"/>
    <w:rsid w:val="00CF7637"/>
    <w:rsid w:val="00CF76A2"/>
    <w:rsid w:val="00CF7BA1"/>
    <w:rsid w:val="00D010F6"/>
    <w:rsid w:val="00D04C98"/>
    <w:rsid w:val="00D05D5C"/>
    <w:rsid w:val="00D06B73"/>
    <w:rsid w:val="00D072FB"/>
    <w:rsid w:val="00D14A4D"/>
    <w:rsid w:val="00D1734A"/>
    <w:rsid w:val="00D21C6F"/>
    <w:rsid w:val="00D265D6"/>
    <w:rsid w:val="00D30527"/>
    <w:rsid w:val="00D313B9"/>
    <w:rsid w:val="00D33676"/>
    <w:rsid w:val="00D36A1F"/>
    <w:rsid w:val="00D4286C"/>
    <w:rsid w:val="00D43D4F"/>
    <w:rsid w:val="00D557DF"/>
    <w:rsid w:val="00D642DC"/>
    <w:rsid w:val="00D675D6"/>
    <w:rsid w:val="00D736AB"/>
    <w:rsid w:val="00D76E7F"/>
    <w:rsid w:val="00D83046"/>
    <w:rsid w:val="00D83152"/>
    <w:rsid w:val="00D835F3"/>
    <w:rsid w:val="00D8644C"/>
    <w:rsid w:val="00D87EC5"/>
    <w:rsid w:val="00D930C6"/>
    <w:rsid w:val="00D94642"/>
    <w:rsid w:val="00D96222"/>
    <w:rsid w:val="00D975F7"/>
    <w:rsid w:val="00DA0528"/>
    <w:rsid w:val="00DB0FAA"/>
    <w:rsid w:val="00DB2759"/>
    <w:rsid w:val="00DC415C"/>
    <w:rsid w:val="00DD07BB"/>
    <w:rsid w:val="00DD094B"/>
    <w:rsid w:val="00DD450C"/>
    <w:rsid w:val="00DF080D"/>
    <w:rsid w:val="00DF177C"/>
    <w:rsid w:val="00DF1A88"/>
    <w:rsid w:val="00DF6806"/>
    <w:rsid w:val="00E035EF"/>
    <w:rsid w:val="00E07F6F"/>
    <w:rsid w:val="00E10A61"/>
    <w:rsid w:val="00E12076"/>
    <w:rsid w:val="00E15F3A"/>
    <w:rsid w:val="00E17B98"/>
    <w:rsid w:val="00E20335"/>
    <w:rsid w:val="00E21106"/>
    <w:rsid w:val="00E217D7"/>
    <w:rsid w:val="00E22BCF"/>
    <w:rsid w:val="00E26D1D"/>
    <w:rsid w:val="00E44B77"/>
    <w:rsid w:val="00E52E26"/>
    <w:rsid w:val="00E57C5F"/>
    <w:rsid w:val="00E62A11"/>
    <w:rsid w:val="00E62A77"/>
    <w:rsid w:val="00E63746"/>
    <w:rsid w:val="00E72591"/>
    <w:rsid w:val="00E74952"/>
    <w:rsid w:val="00E75A08"/>
    <w:rsid w:val="00E857DE"/>
    <w:rsid w:val="00E859AE"/>
    <w:rsid w:val="00E86910"/>
    <w:rsid w:val="00E87D31"/>
    <w:rsid w:val="00E90B76"/>
    <w:rsid w:val="00EA0946"/>
    <w:rsid w:val="00EA3D25"/>
    <w:rsid w:val="00EA644B"/>
    <w:rsid w:val="00EB477D"/>
    <w:rsid w:val="00EB7A07"/>
    <w:rsid w:val="00EB7EF9"/>
    <w:rsid w:val="00ED1744"/>
    <w:rsid w:val="00ED4C52"/>
    <w:rsid w:val="00ED7AD7"/>
    <w:rsid w:val="00EE32C6"/>
    <w:rsid w:val="00EF472D"/>
    <w:rsid w:val="00EF5B82"/>
    <w:rsid w:val="00EF64AA"/>
    <w:rsid w:val="00F36E83"/>
    <w:rsid w:val="00F407F5"/>
    <w:rsid w:val="00F42F4F"/>
    <w:rsid w:val="00F437D6"/>
    <w:rsid w:val="00F44CD9"/>
    <w:rsid w:val="00F4558E"/>
    <w:rsid w:val="00F47F2C"/>
    <w:rsid w:val="00F505ED"/>
    <w:rsid w:val="00F619A9"/>
    <w:rsid w:val="00F63F0E"/>
    <w:rsid w:val="00F67339"/>
    <w:rsid w:val="00F7121F"/>
    <w:rsid w:val="00F7184F"/>
    <w:rsid w:val="00F7656E"/>
    <w:rsid w:val="00F76D7C"/>
    <w:rsid w:val="00F84012"/>
    <w:rsid w:val="00F87087"/>
    <w:rsid w:val="00F87F64"/>
    <w:rsid w:val="00F904A0"/>
    <w:rsid w:val="00F9370D"/>
    <w:rsid w:val="00F944AB"/>
    <w:rsid w:val="00FA4421"/>
    <w:rsid w:val="00FA5CE7"/>
    <w:rsid w:val="00FA7C6B"/>
    <w:rsid w:val="00FC4B04"/>
    <w:rsid w:val="00FC5C50"/>
    <w:rsid w:val="00FD112A"/>
    <w:rsid w:val="00FD13EA"/>
    <w:rsid w:val="00FE6316"/>
    <w:rsid w:val="00FF0CE5"/>
    <w:rsid w:val="00FF11CF"/>
    <w:rsid w:val="00FF6538"/>
    <w:rsid w:val="010358F1"/>
    <w:rsid w:val="016C4723"/>
    <w:rsid w:val="01BA7470"/>
    <w:rsid w:val="01CE07E0"/>
    <w:rsid w:val="01D53F13"/>
    <w:rsid w:val="021D1F57"/>
    <w:rsid w:val="0290335D"/>
    <w:rsid w:val="02FD54BE"/>
    <w:rsid w:val="03263036"/>
    <w:rsid w:val="03410DCF"/>
    <w:rsid w:val="037814A0"/>
    <w:rsid w:val="03D923AB"/>
    <w:rsid w:val="04151569"/>
    <w:rsid w:val="049E08F4"/>
    <w:rsid w:val="04D857D3"/>
    <w:rsid w:val="051F10E1"/>
    <w:rsid w:val="05600B5C"/>
    <w:rsid w:val="057072C1"/>
    <w:rsid w:val="05BD4F00"/>
    <w:rsid w:val="05EE0A91"/>
    <w:rsid w:val="05F10660"/>
    <w:rsid w:val="06273827"/>
    <w:rsid w:val="06540FCC"/>
    <w:rsid w:val="06C555ED"/>
    <w:rsid w:val="07B4389B"/>
    <w:rsid w:val="07D949B8"/>
    <w:rsid w:val="080A7084"/>
    <w:rsid w:val="08461E65"/>
    <w:rsid w:val="08AA7F73"/>
    <w:rsid w:val="08FB1B1A"/>
    <w:rsid w:val="08FD3123"/>
    <w:rsid w:val="090529E3"/>
    <w:rsid w:val="09A537E1"/>
    <w:rsid w:val="09CA6A0D"/>
    <w:rsid w:val="09CC13FA"/>
    <w:rsid w:val="0A1C5A93"/>
    <w:rsid w:val="0A204BC4"/>
    <w:rsid w:val="0A442FD7"/>
    <w:rsid w:val="0A5A588C"/>
    <w:rsid w:val="0A5E04F3"/>
    <w:rsid w:val="0AA42852"/>
    <w:rsid w:val="0AE23D0E"/>
    <w:rsid w:val="0B217A21"/>
    <w:rsid w:val="0C0909C1"/>
    <w:rsid w:val="0C1D5EC1"/>
    <w:rsid w:val="0C272694"/>
    <w:rsid w:val="0C3D5051"/>
    <w:rsid w:val="0C572706"/>
    <w:rsid w:val="0C6F6E51"/>
    <w:rsid w:val="0C9130BC"/>
    <w:rsid w:val="0CA759F2"/>
    <w:rsid w:val="0CBA78D4"/>
    <w:rsid w:val="0CD76FDB"/>
    <w:rsid w:val="0D105F9D"/>
    <w:rsid w:val="0D4A7B51"/>
    <w:rsid w:val="0DD4230C"/>
    <w:rsid w:val="0DFA5BE7"/>
    <w:rsid w:val="0E477087"/>
    <w:rsid w:val="0EA51AF4"/>
    <w:rsid w:val="0F563054"/>
    <w:rsid w:val="0F963E41"/>
    <w:rsid w:val="0FED18E9"/>
    <w:rsid w:val="10134B67"/>
    <w:rsid w:val="10170A7F"/>
    <w:rsid w:val="108D6098"/>
    <w:rsid w:val="10AF06DC"/>
    <w:rsid w:val="10BC31BC"/>
    <w:rsid w:val="10BC53FE"/>
    <w:rsid w:val="117A036C"/>
    <w:rsid w:val="120359CF"/>
    <w:rsid w:val="1215045B"/>
    <w:rsid w:val="12645CDA"/>
    <w:rsid w:val="127C4EF3"/>
    <w:rsid w:val="12982901"/>
    <w:rsid w:val="12F41FBD"/>
    <w:rsid w:val="13012433"/>
    <w:rsid w:val="13494FBC"/>
    <w:rsid w:val="14341878"/>
    <w:rsid w:val="14AD48CF"/>
    <w:rsid w:val="14F41D69"/>
    <w:rsid w:val="15532CF1"/>
    <w:rsid w:val="15C02C7D"/>
    <w:rsid w:val="160A3956"/>
    <w:rsid w:val="161B6F60"/>
    <w:rsid w:val="162E716D"/>
    <w:rsid w:val="1656287E"/>
    <w:rsid w:val="16AB50D3"/>
    <w:rsid w:val="17467175"/>
    <w:rsid w:val="17B6365E"/>
    <w:rsid w:val="194717EA"/>
    <w:rsid w:val="19C30BE9"/>
    <w:rsid w:val="19EA7602"/>
    <w:rsid w:val="1A162402"/>
    <w:rsid w:val="1A305511"/>
    <w:rsid w:val="1A926C6A"/>
    <w:rsid w:val="1B9075A8"/>
    <w:rsid w:val="1BDA5679"/>
    <w:rsid w:val="1C180DEF"/>
    <w:rsid w:val="1C310064"/>
    <w:rsid w:val="1C7A0636"/>
    <w:rsid w:val="1D2A607F"/>
    <w:rsid w:val="1EAB7DD8"/>
    <w:rsid w:val="1EDE7187"/>
    <w:rsid w:val="1F577144"/>
    <w:rsid w:val="1FD35EA4"/>
    <w:rsid w:val="201E077B"/>
    <w:rsid w:val="206116C8"/>
    <w:rsid w:val="20765E97"/>
    <w:rsid w:val="20811E47"/>
    <w:rsid w:val="20C45DB6"/>
    <w:rsid w:val="21B05DBE"/>
    <w:rsid w:val="21C7019C"/>
    <w:rsid w:val="2236721F"/>
    <w:rsid w:val="226C75E7"/>
    <w:rsid w:val="22F26C0A"/>
    <w:rsid w:val="230E6A0A"/>
    <w:rsid w:val="23686F0F"/>
    <w:rsid w:val="23FF0EBD"/>
    <w:rsid w:val="241508D2"/>
    <w:rsid w:val="24325EC4"/>
    <w:rsid w:val="24662812"/>
    <w:rsid w:val="24B54904"/>
    <w:rsid w:val="24DE0117"/>
    <w:rsid w:val="25325BFB"/>
    <w:rsid w:val="25E040F3"/>
    <w:rsid w:val="25E5423A"/>
    <w:rsid w:val="2604404F"/>
    <w:rsid w:val="26530475"/>
    <w:rsid w:val="265E6F61"/>
    <w:rsid w:val="26C9086C"/>
    <w:rsid w:val="273D023C"/>
    <w:rsid w:val="27E1373A"/>
    <w:rsid w:val="27FD02F5"/>
    <w:rsid w:val="284162C2"/>
    <w:rsid w:val="28571DB3"/>
    <w:rsid w:val="292B539D"/>
    <w:rsid w:val="294D5769"/>
    <w:rsid w:val="29CD47C9"/>
    <w:rsid w:val="2A7B7D27"/>
    <w:rsid w:val="2AE81BDC"/>
    <w:rsid w:val="2B436E50"/>
    <w:rsid w:val="2BB22BDD"/>
    <w:rsid w:val="2BB71A4C"/>
    <w:rsid w:val="2C175779"/>
    <w:rsid w:val="2C9D4BB7"/>
    <w:rsid w:val="2CB876BB"/>
    <w:rsid w:val="2D0B3230"/>
    <w:rsid w:val="2D4F042F"/>
    <w:rsid w:val="2D5843C1"/>
    <w:rsid w:val="2D99286E"/>
    <w:rsid w:val="2E5B78C7"/>
    <w:rsid w:val="2E731D02"/>
    <w:rsid w:val="2EC76506"/>
    <w:rsid w:val="2EEC3947"/>
    <w:rsid w:val="2F0E12DA"/>
    <w:rsid w:val="2F31507D"/>
    <w:rsid w:val="2FB577AD"/>
    <w:rsid w:val="30505603"/>
    <w:rsid w:val="30516B75"/>
    <w:rsid w:val="30B72B5D"/>
    <w:rsid w:val="30D14AE5"/>
    <w:rsid w:val="30F22889"/>
    <w:rsid w:val="30FF18C2"/>
    <w:rsid w:val="313240A7"/>
    <w:rsid w:val="313437CE"/>
    <w:rsid w:val="31705F26"/>
    <w:rsid w:val="31750EFD"/>
    <w:rsid w:val="31B71731"/>
    <w:rsid w:val="31B9703B"/>
    <w:rsid w:val="3266411D"/>
    <w:rsid w:val="32C67F45"/>
    <w:rsid w:val="32EB2216"/>
    <w:rsid w:val="33B95719"/>
    <w:rsid w:val="33D204F6"/>
    <w:rsid w:val="34DE5B34"/>
    <w:rsid w:val="350B2AC0"/>
    <w:rsid w:val="35380FB4"/>
    <w:rsid w:val="357D7008"/>
    <w:rsid w:val="357F5437"/>
    <w:rsid w:val="35CE25B9"/>
    <w:rsid w:val="35E46651"/>
    <w:rsid w:val="366A1380"/>
    <w:rsid w:val="36963843"/>
    <w:rsid w:val="36A57CDD"/>
    <w:rsid w:val="371D63E9"/>
    <w:rsid w:val="37235832"/>
    <w:rsid w:val="375623B7"/>
    <w:rsid w:val="37CC0B5C"/>
    <w:rsid w:val="37D0018F"/>
    <w:rsid w:val="386306CA"/>
    <w:rsid w:val="386E4E4F"/>
    <w:rsid w:val="39041E13"/>
    <w:rsid w:val="394B0B4E"/>
    <w:rsid w:val="396E4D78"/>
    <w:rsid w:val="39A84DCA"/>
    <w:rsid w:val="39DC7C10"/>
    <w:rsid w:val="39EA336A"/>
    <w:rsid w:val="3A742987"/>
    <w:rsid w:val="3AAB63D0"/>
    <w:rsid w:val="3ABA6BAF"/>
    <w:rsid w:val="3AE04AFC"/>
    <w:rsid w:val="3AF96CB0"/>
    <w:rsid w:val="3B37372B"/>
    <w:rsid w:val="3B553052"/>
    <w:rsid w:val="3B5B7EEA"/>
    <w:rsid w:val="3B5E695F"/>
    <w:rsid w:val="3B712D2B"/>
    <w:rsid w:val="3C9F4C0A"/>
    <w:rsid w:val="3CA309EA"/>
    <w:rsid w:val="3CBA4B53"/>
    <w:rsid w:val="3CE82B38"/>
    <w:rsid w:val="3D072FFB"/>
    <w:rsid w:val="3D15427B"/>
    <w:rsid w:val="3D49142F"/>
    <w:rsid w:val="3D822A00"/>
    <w:rsid w:val="3E011872"/>
    <w:rsid w:val="3E012496"/>
    <w:rsid w:val="3E0C4037"/>
    <w:rsid w:val="3E557A55"/>
    <w:rsid w:val="3E5C0488"/>
    <w:rsid w:val="3E897837"/>
    <w:rsid w:val="3F3838F9"/>
    <w:rsid w:val="3F52328F"/>
    <w:rsid w:val="3FCC680A"/>
    <w:rsid w:val="3FF0484F"/>
    <w:rsid w:val="400E7CF1"/>
    <w:rsid w:val="403A23E9"/>
    <w:rsid w:val="40721D4A"/>
    <w:rsid w:val="409A6144"/>
    <w:rsid w:val="411A420C"/>
    <w:rsid w:val="411C2579"/>
    <w:rsid w:val="41677CAE"/>
    <w:rsid w:val="41ED3426"/>
    <w:rsid w:val="42410D9C"/>
    <w:rsid w:val="425039B7"/>
    <w:rsid w:val="425725DA"/>
    <w:rsid w:val="42971270"/>
    <w:rsid w:val="42B7069B"/>
    <w:rsid w:val="42E03D23"/>
    <w:rsid w:val="44146E97"/>
    <w:rsid w:val="441A0482"/>
    <w:rsid w:val="44BD22D2"/>
    <w:rsid w:val="44E01109"/>
    <w:rsid w:val="45323765"/>
    <w:rsid w:val="45C20A3A"/>
    <w:rsid w:val="45DD5E51"/>
    <w:rsid w:val="463E7D7D"/>
    <w:rsid w:val="464E7D3C"/>
    <w:rsid w:val="46527B57"/>
    <w:rsid w:val="466B7A57"/>
    <w:rsid w:val="467032ED"/>
    <w:rsid w:val="469F0916"/>
    <w:rsid w:val="46E75782"/>
    <w:rsid w:val="47831D10"/>
    <w:rsid w:val="47C3593D"/>
    <w:rsid w:val="48CB0589"/>
    <w:rsid w:val="490F79AB"/>
    <w:rsid w:val="493F5D78"/>
    <w:rsid w:val="499C176C"/>
    <w:rsid w:val="49DC4527"/>
    <w:rsid w:val="49FE17A6"/>
    <w:rsid w:val="4A805D52"/>
    <w:rsid w:val="4B0E2042"/>
    <w:rsid w:val="4BB26B7D"/>
    <w:rsid w:val="4BBA4859"/>
    <w:rsid w:val="4BD966FA"/>
    <w:rsid w:val="4BDC6614"/>
    <w:rsid w:val="4BE017C7"/>
    <w:rsid w:val="4C5A1E18"/>
    <w:rsid w:val="4C84080F"/>
    <w:rsid w:val="4CE1117D"/>
    <w:rsid w:val="4D19700F"/>
    <w:rsid w:val="4DD25EC4"/>
    <w:rsid w:val="4E454C21"/>
    <w:rsid w:val="4EC228A0"/>
    <w:rsid w:val="4F3734E7"/>
    <w:rsid w:val="4F510848"/>
    <w:rsid w:val="4F5E049C"/>
    <w:rsid w:val="50176758"/>
    <w:rsid w:val="5032149F"/>
    <w:rsid w:val="50851DE3"/>
    <w:rsid w:val="509167A9"/>
    <w:rsid w:val="517E573A"/>
    <w:rsid w:val="51BF1977"/>
    <w:rsid w:val="51D17D71"/>
    <w:rsid w:val="52181A7B"/>
    <w:rsid w:val="522F1D13"/>
    <w:rsid w:val="53863B79"/>
    <w:rsid w:val="53D625E5"/>
    <w:rsid w:val="53E3476A"/>
    <w:rsid w:val="53F32888"/>
    <w:rsid w:val="541E0DC3"/>
    <w:rsid w:val="54913D65"/>
    <w:rsid w:val="54AF785B"/>
    <w:rsid w:val="54E63161"/>
    <w:rsid w:val="554D254A"/>
    <w:rsid w:val="55924B19"/>
    <w:rsid w:val="55D908AD"/>
    <w:rsid w:val="55DA6100"/>
    <w:rsid w:val="56152646"/>
    <w:rsid w:val="561906E6"/>
    <w:rsid w:val="56595EEB"/>
    <w:rsid w:val="568338FE"/>
    <w:rsid w:val="573A01D3"/>
    <w:rsid w:val="57B14DF6"/>
    <w:rsid w:val="585F1E3B"/>
    <w:rsid w:val="59123890"/>
    <w:rsid w:val="59322743"/>
    <w:rsid w:val="598200A9"/>
    <w:rsid w:val="59823447"/>
    <w:rsid w:val="59CC10A8"/>
    <w:rsid w:val="59CF1F59"/>
    <w:rsid w:val="5A047F4F"/>
    <w:rsid w:val="5B1D5594"/>
    <w:rsid w:val="5B2A2AC7"/>
    <w:rsid w:val="5B56155C"/>
    <w:rsid w:val="5BEE3883"/>
    <w:rsid w:val="5C5954A2"/>
    <w:rsid w:val="5CF50806"/>
    <w:rsid w:val="5D030FE6"/>
    <w:rsid w:val="5D6F0F31"/>
    <w:rsid w:val="5DA217B7"/>
    <w:rsid w:val="5DE8293D"/>
    <w:rsid w:val="5E740C54"/>
    <w:rsid w:val="5E8A623D"/>
    <w:rsid w:val="5EBC7F50"/>
    <w:rsid w:val="5FB9120D"/>
    <w:rsid w:val="611A4DE5"/>
    <w:rsid w:val="611D6E04"/>
    <w:rsid w:val="613B400C"/>
    <w:rsid w:val="618D194B"/>
    <w:rsid w:val="61F77A79"/>
    <w:rsid w:val="6209000D"/>
    <w:rsid w:val="62092D16"/>
    <w:rsid w:val="6327251B"/>
    <w:rsid w:val="634957A6"/>
    <w:rsid w:val="63D136BE"/>
    <w:rsid w:val="64115713"/>
    <w:rsid w:val="64434538"/>
    <w:rsid w:val="644D684C"/>
    <w:rsid w:val="648F1CFA"/>
    <w:rsid w:val="64C84E41"/>
    <w:rsid w:val="64CA0E09"/>
    <w:rsid w:val="64E21A85"/>
    <w:rsid w:val="64E85862"/>
    <w:rsid w:val="654D6E77"/>
    <w:rsid w:val="65E9101E"/>
    <w:rsid w:val="662521BC"/>
    <w:rsid w:val="664F64DE"/>
    <w:rsid w:val="66502A44"/>
    <w:rsid w:val="669868D9"/>
    <w:rsid w:val="67C37DBB"/>
    <w:rsid w:val="67D55C76"/>
    <w:rsid w:val="68512D07"/>
    <w:rsid w:val="68BB44CB"/>
    <w:rsid w:val="68F40F83"/>
    <w:rsid w:val="690437F6"/>
    <w:rsid w:val="691C4946"/>
    <w:rsid w:val="694F7CAA"/>
    <w:rsid w:val="69614E8E"/>
    <w:rsid w:val="69913A18"/>
    <w:rsid w:val="69A9026E"/>
    <w:rsid w:val="69E00ED5"/>
    <w:rsid w:val="69E05708"/>
    <w:rsid w:val="6A946571"/>
    <w:rsid w:val="6ABB2AB5"/>
    <w:rsid w:val="6AE22BDD"/>
    <w:rsid w:val="6AE34FC5"/>
    <w:rsid w:val="6B34364D"/>
    <w:rsid w:val="6B493928"/>
    <w:rsid w:val="6BC06215"/>
    <w:rsid w:val="6BF36966"/>
    <w:rsid w:val="6C085EA8"/>
    <w:rsid w:val="6CA56D77"/>
    <w:rsid w:val="6CA778E8"/>
    <w:rsid w:val="6CC14593"/>
    <w:rsid w:val="6CD667BD"/>
    <w:rsid w:val="6D9754EA"/>
    <w:rsid w:val="6E360B65"/>
    <w:rsid w:val="6E612D8D"/>
    <w:rsid w:val="6E8D0021"/>
    <w:rsid w:val="6EDB5EA7"/>
    <w:rsid w:val="6F225418"/>
    <w:rsid w:val="6FC43748"/>
    <w:rsid w:val="6FCA1E38"/>
    <w:rsid w:val="70280900"/>
    <w:rsid w:val="702C4192"/>
    <w:rsid w:val="704A56D0"/>
    <w:rsid w:val="70732934"/>
    <w:rsid w:val="708A4428"/>
    <w:rsid w:val="71072C18"/>
    <w:rsid w:val="718E326D"/>
    <w:rsid w:val="71912A90"/>
    <w:rsid w:val="725935EA"/>
    <w:rsid w:val="726C5429"/>
    <w:rsid w:val="727D053C"/>
    <w:rsid w:val="7326337A"/>
    <w:rsid w:val="737005A6"/>
    <w:rsid w:val="738C6477"/>
    <w:rsid w:val="73DD5DE9"/>
    <w:rsid w:val="73FF1756"/>
    <w:rsid w:val="74810822"/>
    <w:rsid w:val="74FC6F65"/>
    <w:rsid w:val="74FE670E"/>
    <w:rsid w:val="75377732"/>
    <w:rsid w:val="7588162C"/>
    <w:rsid w:val="75A50629"/>
    <w:rsid w:val="768C4209"/>
    <w:rsid w:val="7693432A"/>
    <w:rsid w:val="76BB1E5D"/>
    <w:rsid w:val="76C37A96"/>
    <w:rsid w:val="76F7760A"/>
    <w:rsid w:val="77011DAF"/>
    <w:rsid w:val="77FE17D6"/>
    <w:rsid w:val="782A0574"/>
    <w:rsid w:val="784C11DD"/>
    <w:rsid w:val="786970F5"/>
    <w:rsid w:val="79CB7C77"/>
    <w:rsid w:val="79DF4304"/>
    <w:rsid w:val="79F629E1"/>
    <w:rsid w:val="7AAE1556"/>
    <w:rsid w:val="7AB9081D"/>
    <w:rsid w:val="7B42559B"/>
    <w:rsid w:val="7B7E4F82"/>
    <w:rsid w:val="7B8C2795"/>
    <w:rsid w:val="7C443793"/>
    <w:rsid w:val="7C6E739C"/>
    <w:rsid w:val="7CA60B6A"/>
    <w:rsid w:val="7D382342"/>
    <w:rsid w:val="7D501C2E"/>
    <w:rsid w:val="7D84036F"/>
    <w:rsid w:val="7DB216CA"/>
    <w:rsid w:val="7DBF041D"/>
    <w:rsid w:val="7DEB7B49"/>
    <w:rsid w:val="7E076C38"/>
    <w:rsid w:val="7E32754C"/>
    <w:rsid w:val="7E5F3016"/>
    <w:rsid w:val="7E9C5F0E"/>
    <w:rsid w:val="7EAD0E9D"/>
    <w:rsid w:val="7EB97D55"/>
    <w:rsid w:val="7EE0747E"/>
    <w:rsid w:val="7EE56739"/>
    <w:rsid w:val="7F162E82"/>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adjustRightInd w:val="0"/>
      <w:snapToGrid w:val="0"/>
      <w:spacing w:line="360" w:lineRule="auto"/>
      <w:jc w:val="center"/>
      <w:outlineLvl w:val="0"/>
    </w:pPr>
    <w:rPr>
      <w:rFonts w:ascii="宋体" w:hAnsi="宋体" w:cs="宋体"/>
      <w:b/>
      <w:bCs/>
      <w:kern w:val="44"/>
      <w:sz w:val="36"/>
      <w:szCs w:val="36"/>
    </w:rPr>
  </w:style>
  <w:style w:type="paragraph" w:styleId="4">
    <w:name w:val="heading 2"/>
    <w:basedOn w:val="1"/>
    <w:next w:val="1"/>
    <w:link w:val="58"/>
    <w:qFormat/>
    <w:uiPriority w:val="0"/>
    <w:pPr>
      <w:keepNext/>
      <w:keepLines/>
      <w:adjustRightInd w:val="0"/>
      <w:snapToGrid w:val="0"/>
      <w:spacing w:line="360" w:lineRule="auto"/>
      <w:ind w:firstLine="200" w:firstLineChars="200"/>
      <w:outlineLvl w:val="1"/>
    </w:pPr>
    <w:rPr>
      <w:rFonts w:ascii="宋体" w:hAnsi="宋体" w:cs="宋体"/>
      <w:b/>
      <w:bCs/>
      <w:sz w:val="24"/>
    </w:rPr>
  </w:style>
  <w:style w:type="paragraph" w:styleId="5">
    <w:name w:val="heading 3"/>
    <w:basedOn w:val="1"/>
    <w:next w:val="1"/>
    <w:link w:val="59"/>
    <w:qFormat/>
    <w:uiPriority w:val="0"/>
    <w:pPr>
      <w:keepNext/>
      <w:keepLines/>
      <w:adjustRightInd w:val="0"/>
      <w:snapToGrid w:val="0"/>
      <w:spacing w:line="360" w:lineRule="auto"/>
      <w:ind w:firstLine="200" w:firstLineChars="200"/>
      <w:outlineLvl w:val="2"/>
    </w:pPr>
    <w:rPr>
      <w:rFonts w:ascii="宋体" w:hAnsi="宋体" w:cs="宋体"/>
      <w:b/>
      <w:bCs/>
      <w:sz w:val="24"/>
    </w:rPr>
  </w:style>
  <w:style w:type="paragraph" w:styleId="6">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1"/>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0"/>
    <w:pPr>
      <w:jc w:val="left"/>
    </w:pPr>
  </w:style>
  <w:style w:type="paragraph" w:styleId="16">
    <w:name w:val="Body Text 3"/>
    <w:basedOn w:val="1"/>
    <w:qFormat/>
    <w:uiPriority w:val="0"/>
    <w:rPr>
      <w:rFonts w:ascii="宋体"/>
      <w:sz w:val="24"/>
      <w:szCs w:val="20"/>
    </w:rPr>
  </w:style>
  <w:style w:type="paragraph" w:styleId="17">
    <w:name w:val="Body Text"/>
    <w:basedOn w:val="1"/>
    <w:link w:val="68"/>
    <w:qFormat/>
    <w:uiPriority w:val="0"/>
    <w:pPr>
      <w:spacing w:after="120"/>
    </w:pPr>
  </w:style>
  <w:style w:type="paragraph" w:styleId="18">
    <w:name w:val="Body Text Indent"/>
    <w:basedOn w:val="1"/>
    <w:qFormat/>
    <w:uiPriority w:val="0"/>
    <w:pPr>
      <w:spacing w:after="120"/>
      <w:ind w:left="420" w:leftChars="200"/>
    </w:pPr>
  </w:style>
  <w:style w:type="paragraph" w:styleId="19">
    <w:name w:val="Block Text"/>
    <w:basedOn w:val="1"/>
    <w:qFormat/>
    <w:uiPriority w:val="0"/>
    <w:pPr>
      <w:spacing w:line="60" w:lineRule="atLeast"/>
      <w:ind w:left="-359" w:leftChars="-171" w:right="-1359" w:rightChars="-647" w:firstLine="560" w:firstLineChars="200"/>
    </w:pPr>
    <w:rPr>
      <w:sz w:val="28"/>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adjustRightInd w:val="0"/>
      <w:snapToGrid w:val="0"/>
      <w:spacing w:line="360" w:lineRule="auto"/>
      <w:ind w:left="300" w:leftChars="300"/>
      <w:jc w:val="left"/>
    </w:pPr>
    <w:rPr>
      <w:rFonts w:ascii="宋体" w:hAnsi="宋体" w:cs="宋体"/>
      <w:iCs/>
      <w:sz w:val="24"/>
    </w:rPr>
  </w:style>
  <w:style w:type="paragraph" w:styleId="23">
    <w:name w:val="Plain Text"/>
    <w:basedOn w:val="1"/>
    <w:qFormat/>
    <w:uiPriority w:val="0"/>
    <w:rPr>
      <w:rFonts w:ascii="Courier New" w:hAnsi="Courier New"/>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adjustRightInd w:val="0"/>
      <w:spacing w:line="480" w:lineRule="atLeast"/>
      <w:ind w:firstLine="480"/>
      <w:jc w:val="left"/>
      <w:textAlignment w:val="baseline"/>
    </w:pPr>
    <w:rPr>
      <w:kern w:val="0"/>
      <w:sz w:val="28"/>
      <w:szCs w:val="20"/>
    </w:rPr>
  </w:style>
  <w:style w:type="paragraph" w:styleId="27">
    <w:name w:val="endnote text"/>
    <w:basedOn w:val="1"/>
    <w:link w:val="71"/>
    <w:qFormat/>
    <w:uiPriority w:val="0"/>
    <w:pPr>
      <w:adjustRightInd w:val="0"/>
      <w:spacing w:line="360" w:lineRule="atLeast"/>
      <w:jc w:val="left"/>
      <w:textAlignment w:val="baseline"/>
    </w:pPr>
    <w:rPr>
      <w:kern w:val="0"/>
      <w:sz w:val="24"/>
      <w:szCs w:val="20"/>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snapToGrid w:val="0"/>
      <w:jc w:val="left"/>
    </w:pPr>
    <w:rPr>
      <w:sz w:val="18"/>
      <w:szCs w:val="18"/>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adjustRightInd w:val="0"/>
      <w:snapToGrid w:val="0"/>
      <w:spacing w:line="360" w:lineRule="auto"/>
      <w:jc w:val="left"/>
    </w:pPr>
    <w:rPr>
      <w:rFonts w:ascii="宋体" w:hAnsi="宋体" w:cs="宋体"/>
      <w:b/>
      <w:bCs/>
      <w:caps/>
      <w:sz w:val="24"/>
    </w:r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adjustRightInd w:val="0"/>
      <w:snapToGrid w:val="0"/>
      <w:spacing w:line="360" w:lineRule="auto"/>
      <w:ind w:left="200" w:leftChars="200"/>
      <w:jc w:val="left"/>
    </w:pPr>
    <w:rPr>
      <w:rFonts w:ascii="宋体" w:hAnsi="宋体" w:cs="宋体"/>
      <w:smallCaps/>
      <w:sz w:val="24"/>
    </w:rPr>
  </w:style>
  <w:style w:type="paragraph" w:styleId="39">
    <w:name w:val="toc 9"/>
    <w:basedOn w:val="1"/>
    <w:next w:val="1"/>
    <w:qFormat/>
    <w:uiPriority w:val="39"/>
    <w:pPr>
      <w:ind w:left="1680"/>
      <w:jc w:val="left"/>
    </w:pPr>
    <w:rPr>
      <w:sz w:val="18"/>
      <w:szCs w:val="18"/>
    </w:rPr>
  </w:style>
  <w:style w:type="paragraph" w:styleId="40">
    <w:name w:val="Body Text 2"/>
    <w:basedOn w:val="1"/>
    <w:link w:val="76"/>
    <w:qFormat/>
    <w:uiPriority w:val="0"/>
    <w:pPr>
      <w:adjustRightInd w:val="0"/>
      <w:spacing w:line="480" w:lineRule="atLeast"/>
      <w:jc w:val="center"/>
      <w:textAlignment w:val="baseline"/>
    </w:pPr>
    <w:rPr>
      <w:kern w:val="0"/>
      <w:sz w:val="28"/>
      <w:szCs w:val="20"/>
    </w:rPr>
  </w:style>
  <w:style w:type="paragraph" w:styleId="41">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5"/>
    <w:next w:val="15"/>
    <w:link w:val="79"/>
    <w:qFormat/>
    <w:uiPriority w:val="0"/>
    <w:rPr>
      <w:b/>
      <w:bCs/>
    </w:rPr>
  </w:style>
  <w:style w:type="paragraph" w:styleId="45">
    <w:name w:val="Body Text First Indent 2"/>
    <w:basedOn w:val="18"/>
    <w:unhideWhenUsed/>
    <w:qFormat/>
    <w:uiPriority w:val="99"/>
    <w:pPr>
      <w:ind w:firstLine="420" w:firstLineChars="200"/>
    </w:p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22"/>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字符"/>
    <w:link w:val="3"/>
    <w:qFormat/>
    <w:uiPriority w:val="0"/>
    <w:rPr>
      <w:rFonts w:ascii="宋体" w:hAnsi="宋体" w:cs="宋体"/>
      <w:b/>
      <w:bCs/>
      <w:kern w:val="44"/>
      <w:sz w:val="36"/>
      <w:szCs w:val="36"/>
    </w:rPr>
  </w:style>
  <w:style w:type="character" w:customStyle="1" w:styleId="58">
    <w:name w:val="标题 2 字符"/>
    <w:link w:val="4"/>
    <w:qFormat/>
    <w:uiPriority w:val="0"/>
    <w:rPr>
      <w:rFonts w:ascii="宋体" w:hAnsi="宋体" w:cs="宋体"/>
      <w:b/>
      <w:bCs/>
      <w:kern w:val="2"/>
      <w:sz w:val="24"/>
      <w:szCs w:val="24"/>
    </w:rPr>
  </w:style>
  <w:style w:type="character" w:customStyle="1" w:styleId="59">
    <w:name w:val="标题 3 字符"/>
    <w:link w:val="5"/>
    <w:qFormat/>
    <w:uiPriority w:val="0"/>
    <w:rPr>
      <w:rFonts w:ascii="宋体" w:hAnsi="宋体" w:cs="宋体"/>
      <w:b/>
      <w:bCs/>
      <w:kern w:val="2"/>
      <w:sz w:val="24"/>
      <w:szCs w:val="24"/>
    </w:rPr>
  </w:style>
  <w:style w:type="character" w:customStyle="1" w:styleId="60">
    <w:name w:val="标题 4 字符"/>
    <w:link w:val="6"/>
    <w:qFormat/>
    <w:uiPriority w:val="0"/>
    <w:rPr>
      <w:rFonts w:ascii="Arial" w:hAnsi="Arial" w:eastAsia="黑体"/>
      <w:b/>
      <w:bCs/>
      <w:kern w:val="2"/>
      <w:sz w:val="28"/>
      <w:szCs w:val="28"/>
    </w:rPr>
  </w:style>
  <w:style w:type="character" w:customStyle="1" w:styleId="61">
    <w:name w:val="标题 5 字符"/>
    <w:link w:val="7"/>
    <w:qFormat/>
    <w:uiPriority w:val="0"/>
    <w:rPr>
      <w:rFonts w:ascii="Calibri" w:hAnsi="Calibri"/>
      <w:b/>
      <w:bCs/>
      <w:kern w:val="2"/>
      <w:sz w:val="28"/>
      <w:szCs w:val="28"/>
    </w:rPr>
  </w:style>
  <w:style w:type="character" w:customStyle="1" w:styleId="62">
    <w:name w:val="标题 6 字符"/>
    <w:link w:val="8"/>
    <w:qFormat/>
    <w:uiPriority w:val="0"/>
    <w:rPr>
      <w:rFonts w:ascii="Arial" w:hAnsi="Arial" w:eastAsia="黑体"/>
      <w:b/>
      <w:bCs/>
      <w:sz w:val="24"/>
      <w:szCs w:val="24"/>
    </w:rPr>
  </w:style>
  <w:style w:type="character" w:customStyle="1" w:styleId="63">
    <w:name w:val="标题 7 字符"/>
    <w:link w:val="9"/>
    <w:qFormat/>
    <w:uiPriority w:val="0"/>
    <w:rPr>
      <w:b/>
      <w:bCs/>
      <w:sz w:val="24"/>
      <w:szCs w:val="24"/>
    </w:rPr>
  </w:style>
  <w:style w:type="character" w:customStyle="1" w:styleId="64">
    <w:name w:val="标题 8 字符"/>
    <w:link w:val="10"/>
    <w:qFormat/>
    <w:uiPriority w:val="0"/>
    <w:rPr>
      <w:rFonts w:ascii="Arial" w:hAnsi="Arial" w:eastAsia="黑体"/>
      <w:sz w:val="24"/>
      <w:szCs w:val="24"/>
    </w:rPr>
  </w:style>
  <w:style w:type="character" w:customStyle="1" w:styleId="65">
    <w:name w:val="标题 9 字符"/>
    <w:link w:val="11"/>
    <w:qFormat/>
    <w:uiPriority w:val="0"/>
    <w:rPr>
      <w:rFonts w:ascii="Arial" w:hAnsi="Arial" w:eastAsia="黑体"/>
      <w:sz w:val="21"/>
      <w:szCs w:val="21"/>
    </w:rPr>
  </w:style>
  <w:style w:type="character" w:customStyle="1" w:styleId="66">
    <w:name w:val="文档结构图 字符"/>
    <w:link w:val="14"/>
    <w:qFormat/>
    <w:uiPriority w:val="0"/>
    <w:rPr>
      <w:kern w:val="2"/>
      <w:sz w:val="21"/>
      <w:szCs w:val="24"/>
      <w:shd w:val="clear" w:color="auto" w:fill="000080"/>
    </w:rPr>
  </w:style>
  <w:style w:type="character" w:customStyle="1" w:styleId="67">
    <w:name w:val="批注文字 字符"/>
    <w:link w:val="15"/>
    <w:qFormat/>
    <w:uiPriority w:val="0"/>
    <w:rPr>
      <w:kern w:val="2"/>
      <w:sz w:val="21"/>
      <w:szCs w:val="24"/>
    </w:rPr>
  </w:style>
  <w:style w:type="character" w:customStyle="1" w:styleId="68">
    <w:name w:val="正文文本 字符"/>
    <w:link w:val="17"/>
    <w:qFormat/>
    <w:uiPriority w:val="0"/>
    <w:rPr>
      <w:kern w:val="2"/>
      <w:sz w:val="21"/>
      <w:szCs w:val="24"/>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sz w:val="28"/>
    </w:rPr>
  </w:style>
  <w:style w:type="character" w:customStyle="1" w:styleId="71">
    <w:name w:val="尾注文本 字符"/>
    <w:link w:val="27"/>
    <w:qFormat/>
    <w:uiPriority w:val="0"/>
    <w:rPr>
      <w:sz w:val="24"/>
    </w:rPr>
  </w:style>
  <w:style w:type="character" w:customStyle="1" w:styleId="72">
    <w:name w:val="批注框文本 字符"/>
    <w:link w:val="28"/>
    <w:qFormat/>
    <w:uiPriority w:val="0"/>
    <w:rPr>
      <w:kern w:val="2"/>
      <w:sz w:val="18"/>
      <w:szCs w:val="18"/>
    </w:rPr>
  </w:style>
  <w:style w:type="character" w:customStyle="1" w:styleId="73">
    <w:name w:val="页脚 字符"/>
    <w:link w:val="29"/>
    <w:qFormat/>
    <w:uiPriority w:val="99"/>
    <w:rPr>
      <w:kern w:val="2"/>
      <w:sz w:val="18"/>
      <w:szCs w:val="18"/>
    </w:rPr>
  </w:style>
  <w:style w:type="character" w:customStyle="1" w:styleId="74">
    <w:name w:val="页眉 字符"/>
    <w:link w:val="30"/>
    <w:qFormat/>
    <w:uiPriority w:val="0"/>
    <w:rPr>
      <w:kern w:val="2"/>
      <w:sz w:val="18"/>
      <w:szCs w:val="18"/>
    </w:rPr>
  </w:style>
  <w:style w:type="character" w:customStyle="1" w:styleId="75">
    <w:name w:val="副标题 字符"/>
    <w:link w:val="33"/>
    <w:qFormat/>
    <w:uiPriority w:val="0"/>
    <w:rPr>
      <w:rFonts w:ascii="Cambria" w:hAnsi="Cambria"/>
      <w:b/>
      <w:bCs/>
      <w:kern w:val="28"/>
      <w:sz w:val="32"/>
      <w:szCs w:val="32"/>
    </w:rPr>
  </w:style>
  <w:style w:type="character" w:customStyle="1" w:styleId="76">
    <w:name w:val="正文文本 2 字符"/>
    <w:link w:val="40"/>
    <w:qFormat/>
    <w:uiPriority w:val="0"/>
    <w:rPr>
      <w:sz w:val="28"/>
    </w:rPr>
  </w:style>
  <w:style w:type="character" w:customStyle="1" w:styleId="77">
    <w:name w:val="HTML 预设格式 字符"/>
    <w:link w:val="41"/>
    <w:qFormat/>
    <w:uiPriority w:val="0"/>
    <w:rPr>
      <w:rFonts w:ascii="Arial" w:hAnsi="Arial"/>
      <w:sz w:val="24"/>
      <w:szCs w:val="24"/>
    </w:rPr>
  </w:style>
  <w:style w:type="character" w:customStyle="1" w:styleId="78">
    <w:name w:val="标题 字符"/>
    <w:link w:val="43"/>
    <w:qFormat/>
    <w:uiPriority w:val="0"/>
    <w:rPr>
      <w:rFonts w:ascii="Arial" w:hAnsi="Arial"/>
      <w:b/>
      <w:sz w:val="32"/>
    </w:rPr>
  </w:style>
  <w:style w:type="character" w:customStyle="1" w:styleId="79">
    <w:name w:val="批注主题 字符"/>
    <w:link w:val="44"/>
    <w:qFormat/>
    <w:uiPriority w:val="0"/>
    <w:rPr>
      <w:b/>
      <w:bCs/>
      <w:kern w:val="2"/>
      <w:sz w:val="21"/>
      <w:szCs w:val="24"/>
    </w:rPr>
  </w:style>
  <w:style w:type="character" w:customStyle="1" w:styleId="80">
    <w:name w:val="Char Char"/>
    <w:qFormat/>
    <w:uiPriority w:val="0"/>
    <w:rPr>
      <w:rFonts w:ascii="Arial" w:hAnsi="Arial" w:eastAsia="黑体"/>
      <w:b/>
      <w:bCs/>
      <w:kern w:val="2"/>
      <w:sz w:val="32"/>
      <w:szCs w:val="32"/>
      <w:lang w:val="en-US" w:eastAsia="zh-CN" w:bidi="ar-SA"/>
    </w:rPr>
  </w:style>
  <w:style w:type="character" w:customStyle="1" w:styleId="81">
    <w:name w:val="_Style 80"/>
    <w:qFormat/>
    <w:uiPriority w:val="0"/>
    <w:rPr>
      <w:b/>
      <w:bCs/>
      <w:smallCaps/>
      <w:spacing w:val="5"/>
    </w:rPr>
  </w:style>
  <w:style w:type="character" w:customStyle="1" w:styleId="82">
    <w:name w:val="明显引用 Char2"/>
    <w:qFormat/>
    <w:uiPriority w:val="30"/>
    <w:rPr>
      <w:b/>
      <w:bCs/>
      <w:i/>
      <w:iCs/>
      <w:color w:val="4F81BD"/>
      <w:kern w:val="2"/>
      <w:sz w:val="21"/>
      <w:szCs w:val="24"/>
    </w:rPr>
  </w:style>
  <w:style w:type="character" w:customStyle="1" w:styleId="83">
    <w:name w:val="_Style 82"/>
    <w:qFormat/>
    <w:uiPriority w:val="0"/>
    <w:rPr>
      <w:b/>
      <w:bCs/>
      <w:smallCaps/>
      <w:color w:val="C0504D"/>
      <w:spacing w:val="5"/>
      <w:u w:val="single"/>
    </w:rPr>
  </w:style>
  <w:style w:type="character" w:customStyle="1" w:styleId="84">
    <w:name w:val="font161"/>
    <w:qFormat/>
    <w:uiPriority w:val="0"/>
    <w:rPr>
      <w:b/>
      <w:bCs/>
      <w:sz w:val="32"/>
      <w:szCs w:val="32"/>
    </w:rPr>
  </w:style>
  <w:style w:type="character" w:customStyle="1" w:styleId="85">
    <w:name w:val="Hyperlink.0"/>
    <w:qFormat/>
    <w:uiPriority w:val="0"/>
    <w:rPr>
      <w:rFonts w:ascii="宋体" w:hAnsi="宋体" w:eastAsia="宋体" w:cs="宋体"/>
      <w:sz w:val="24"/>
      <w:szCs w:val="24"/>
      <w:lang w:val="zh-TW" w:eastAsia="zh-TW"/>
    </w:rPr>
  </w:style>
  <w:style w:type="character" w:customStyle="1" w:styleId="86">
    <w:name w:val="副标题 Char2"/>
    <w:qFormat/>
    <w:uiPriority w:val="0"/>
    <w:rPr>
      <w:rFonts w:ascii="Cambria" w:hAnsi="Cambria" w:cs="Times New Roman"/>
      <w:b/>
      <w:bCs/>
      <w:kern w:val="28"/>
      <w:sz w:val="32"/>
      <w:szCs w:val="32"/>
    </w:rPr>
  </w:style>
  <w:style w:type="character" w:customStyle="1" w:styleId="87">
    <w:name w:val="批注主题 Char1"/>
    <w:qFormat/>
    <w:uiPriority w:val="0"/>
    <w:rPr>
      <w:b/>
      <w:bCs/>
      <w:kern w:val="2"/>
      <w:sz w:val="21"/>
      <w:szCs w:val="22"/>
    </w:rPr>
  </w:style>
  <w:style w:type="character" w:customStyle="1" w:styleId="88">
    <w:name w:val="批注框文本 Char1"/>
    <w:qFormat/>
    <w:uiPriority w:val="0"/>
    <w:rPr>
      <w:kern w:val="2"/>
      <w:sz w:val="18"/>
      <w:szCs w:val="18"/>
    </w:rPr>
  </w:style>
  <w:style w:type="character" w:customStyle="1" w:styleId="89">
    <w:name w:val="超链接 New"/>
    <w:qFormat/>
    <w:uiPriority w:val="0"/>
    <w:rPr>
      <w:color w:val="0000FF"/>
      <w:u w:val="single"/>
    </w:rPr>
  </w:style>
  <w:style w:type="character" w:customStyle="1" w:styleId="90">
    <w:name w:val="Char Char7"/>
    <w:qFormat/>
    <w:uiPriority w:val="0"/>
    <w:rPr>
      <w:rFonts w:ascii="Arial" w:hAnsi="Arial" w:eastAsia="黑体"/>
      <w:b/>
      <w:bCs/>
      <w:kern w:val="2"/>
      <w:sz w:val="32"/>
      <w:szCs w:val="32"/>
      <w:lang w:val="en-US" w:eastAsia="zh-CN" w:bidi="ar-SA"/>
    </w:rPr>
  </w:style>
  <w:style w:type="character" w:customStyle="1" w:styleId="91">
    <w:name w:val="引用 Char2"/>
    <w:qFormat/>
    <w:uiPriority w:val="29"/>
    <w:rPr>
      <w:i/>
      <w:iCs/>
      <w:color w:val="000000"/>
      <w:kern w:val="2"/>
      <w:sz w:val="21"/>
      <w:szCs w:val="24"/>
    </w:rPr>
  </w:style>
  <w:style w:type="character" w:customStyle="1" w:styleId="92">
    <w:name w:val="明显引用 字符"/>
    <w:link w:val="93"/>
    <w:qFormat/>
    <w:uiPriority w:val="0"/>
    <w:rPr>
      <w:b/>
      <w:bCs/>
      <w:i/>
      <w:iCs/>
      <w:color w:val="4F81BD"/>
      <w:kern w:val="2"/>
      <w:sz w:val="21"/>
      <w:szCs w:val="22"/>
    </w:rPr>
  </w:style>
  <w:style w:type="paragraph" w:styleId="93">
    <w:name w:val="Intense Quote"/>
    <w:basedOn w:val="1"/>
    <w:next w:val="1"/>
    <w:link w:val="92"/>
    <w:qFormat/>
    <w:uiPriority w:val="0"/>
    <w:pPr>
      <w:pBdr>
        <w:bottom w:val="single" w:color="4F81BD" w:sz="4" w:space="4"/>
      </w:pBdr>
      <w:spacing w:before="200" w:after="280"/>
      <w:ind w:left="936" w:right="936"/>
    </w:pPr>
    <w:rPr>
      <w:b/>
      <w:bCs/>
      <w:i/>
      <w:iCs/>
      <w:color w:val="4F81BD"/>
      <w:szCs w:val="22"/>
    </w:rPr>
  </w:style>
  <w:style w:type="character" w:customStyle="1" w:styleId="94">
    <w:name w:val="标题4 Char Char"/>
    <w:link w:val="95"/>
    <w:qFormat/>
    <w:uiPriority w:val="0"/>
    <w:rPr>
      <w:rFonts w:ascii="宋体" w:hAnsi="宋体" w:cs="宋体"/>
      <w:b/>
      <w:bCs/>
      <w:sz w:val="24"/>
      <w:szCs w:val="24"/>
    </w:rPr>
  </w:style>
  <w:style w:type="paragraph" w:customStyle="1" w:styleId="95">
    <w:name w:val="标题4"/>
    <w:basedOn w:val="4"/>
    <w:next w:val="20"/>
    <w:link w:val="94"/>
    <w:qFormat/>
    <w:uiPriority w:val="0"/>
    <w:pPr>
      <w:spacing w:line="413" w:lineRule="auto"/>
    </w:pPr>
    <w:rPr>
      <w:kern w:val="0"/>
    </w:rPr>
  </w:style>
  <w:style w:type="character" w:customStyle="1" w:styleId="96">
    <w:name w:val="标题 Char1"/>
    <w:qFormat/>
    <w:uiPriority w:val="0"/>
    <w:rPr>
      <w:rFonts w:ascii="Cambria" w:hAnsi="Cambria" w:cs="Times New Roman"/>
      <w:b/>
      <w:bCs/>
      <w:sz w:val="32"/>
      <w:szCs w:val="32"/>
    </w:rPr>
  </w:style>
  <w:style w:type="character" w:customStyle="1" w:styleId="97">
    <w:name w:val="_Style 96"/>
    <w:qFormat/>
    <w:uiPriority w:val="0"/>
    <w:rPr>
      <w:smallCaps/>
      <w:color w:val="C0504D"/>
      <w:u w:val="single"/>
    </w:rPr>
  </w:style>
  <w:style w:type="character" w:customStyle="1" w:styleId="98">
    <w:name w:val="标题5 Char Char"/>
    <w:link w:val="99"/>
    <w:qFormat/>
    <w:uiPriority w:val="0"/>
    <w:rPr>
      <w:rFonts w:ascii="Arial" w:hAnsi="Arial" w:cs="宋体"/>
      <w:b/>
      <w:bCs/>
      <w:sz w:val="24"/>
      <w:szCs w:val="24"/>
    </w:rPr>
  </w:style>
  <w:style w:type="paragraph" w:customStyle="1" w:styleId="99">
    <w:name w:val="标题5"/>
    <w:basedOn w:val="5"/>
    <w:link w:val="98"/>
    <w:qFormat/>
    <w:uiPriority w:val="0"/>
    <w:pPr>
      <w:spacing w:line="413" w:lineRule="auto"/>
    </w:pPr>
    <w:rPr>
      <w:rFonts w:ascii="Arial" w:hAnsi="Arial"/>
      <w:kern w:val="0"/>
    </w:rPr>
  </w:style>
  <w:style w:type="character" w:customStyle="1" w:styleId="100">
    <w:name w:val="Char Char2"/>
    <w:qFormat/>
    <w:uiPriority w:val="0"/>
    <w:rPr>
      <w:rFonts w:eastAsia="宋体"/>
      <w:kern w:val="2"/>
      <w:sz w:val="21"/>
      <w:szCs w:val="24"/>
      <w:lang w:val="en-US" w:eastAsia="zh-CN" w:bidi="ar-SA"/>
    </w:rPr>
  </w:style>
  <w:style w:type="character" w:customStyle="1" w:styleId="101">
    <w:name w:val="Char Char8"/>
    <w:qFormat/>
    <w:uiPriority w:val="0"/>
    <w:rPr>
      <w:rFonts w:ascii="Arial" w:hAnsi="Arial" w:eastAsia="黑体"/>
      <w:b/>
      <w:bCs/>
      <w:kern w:val="2"/>
      <w:sz w:val="32"/>
      <w:szCs w:val="32"/>
      <w:lang w:val="en-US" w:eastAsia="zh-CN" w:bidi="ar-SA"/>
    </w:rPr>
  </w:style>
  <w:style w:type="character" w:customStyle="1" w:styleId="102">
    <w:name w:val="引用 Char1"/>
    <w:qFormat/>
    <w:uiPriority w:val="0"/>
    <w:rPr>
      <w:i/>
      <w:iCs/>
      <w:color w:val="000000"/>
      <w:sz w:val="24"/>
    </w:rPr>
  </w:style>
  <w:style w:type="character" w:customStyle="1" w:styleId="103">
    <w:name w:val="引用 字符"/>
    <w:link w:val="104"/>
    <w:qFormat/>
    <w:uiPriority w:val="0"/>
    <w:rPr>
      <w:i/>
      <w:iCs/>
      <w:color w:val="000000"/>
      <w:kern w:val="2"/>
      <w:sz w:val="21"/>
      <w:szCs w:val="22"/>
    </w:rPr>
  </w:style>
  <w:style w:type="paragraph" w:styleId="104">
    <w:name w:val="Quote"/>
    <w:basedOn w:val="1"/>
    <w:next w:val="1"/>
    <w:link w:val="103"/>
    <w:qFormat/>
    <w:uiPriority w:val="0"/>
    <w:rPr>
      <w:i/>
      <w:iCs/>
      <w:color w:val="000000"/>
      <w:szCs w:val="22"/>
    </w:rPr>
  </w:style>
  <w:style w:type="character" w:customStyle="1" w:styleId="105">
    <w:name w:val="日期 Char1"/>
    <w:qFormat/>
    <w:uiPriority w:val="0"/>
    <w:rPr>
      <w:kern w:val="2"/>
      <w:sz w:val="21"/>
      <w:szCs w:val="22"/>
    </w:rPr>
  </w:style>
  <w:style w:type="character" w:customStyle="1" w:styleId="106">
    <w:name w:val="_Style 105"/>
    <w:qFormat/>
    <w:uiPriority w:val="0"/>
    <w:rPr>
      <w:i/>
      <w:iCs/>
      <w:color w:val="808080"/>
    </w:rPr>
  </w:style>
  <w:style w:type="character" w:customStyle="1" w:styleId="107">
    <w:name w:val="无"/>
    <w:qFormat/>
    <w:uiPriority w:val="0"/>
  </w:style>
  <w:style w:type="character" w:customStyle="1" w:styleId="108">
    <w:name w:val="正文文本 Char1"/>
    <w:qFormat/>
    <w:uiPriority w:val="0"/>
    <w:rPr>
      <w:kern w:val="2"/>
      <w:sz w:val="21"/>
      <w:szCs w:val="22"/>
    </w:rPr>
  </w:style>
  <w:style w:type="character" w:customStyle="1" w:styleId="109">
    <w:name w:val="批注文字 Char Char"/>
    <w:qFormat/>
    <w:uiPriority w:val="0"/>
    <w:rPr>
      <w:rFonts w:ascii="宋体" w:hAnsi="Times New Roman" w:eastAsia="宋体" w:cs="Times New Roman"/>
      <w:sz w:val="28"/>
      <w:szCs w:val="20"/>
    </w:rPr>
  </w:style>
  <w:style w:type="character" w:customStyle="1" w:styleId="110">
    <w:name w:val="副标题 Char1"/>
    <w:qFormat/>
    <w:uiPriority w:val="0"/>
    <w:rPr>
      <w:rFonts w:ascii="Cambria" w:hAnsi="Cambria" w:cs="Times New Roman"/>
      <w:b/>
      <w:bCs/>
      <w:kern w:val="28"/>
      <w:sz w:val="32"/>
      <w:szCs w:val="32"/>
    </w:rPr>
  </w:style>
  <w:style w:type="character" w:customStyle="1" w:styleId="111">
    <w:name w:val="textcontents"/>
    <w:qFormat/>
    <w:uiPriority w:val="0"/>
    <w:rPr>
      <w:rFonts w:cs="Times New Roman"/>
    </w:rPr>
  </w:style>
  <w:style w:type="character" w:customStyle="1" w:styleId="112">
    <w:name w:val="明显引用 Char1"/>
    <w:qFormat/>
    <w:uiPriority w:val="0"/>
    <w:rPr>
      <w:b/>
      <w:bCs/>
      <w:i/>
      <w:iCs/>
      <w:color w:val="4F81BD"/>
      <w:sz w:val="24"/>
    </w:rPr>
  </w:style>
  <w:style w:type="character" w:customStyle="1" w:styleId="113">
    <w:name w:val="_Style 112"/>
    <w:qFormat/>
    <w:uiPriority w:val="0"/>
    <w:rPr>
      <w:b/>
      <w:bCs/>
      <w:i/>
      <w:iCs/>
      <w:color w:val="4F81BD"/>
    </w:rPr>
  </w:style>
  <w:style w:type="character" w:customStyle="1" w:styleId="114">
    <w:name w:val="文档结构图 Char1"/>
    <w:qFormat/>
    <w:uiPriority w:val="0"/>
    <w:rPr>
      <w:rFonts w:ascii="宋体"/>
      <w:kern w:val="2"/>
      <w:sz w:val="18"/>
      <w:szCs w:val="18"/>
    </w:rPr>
  </w:style>
  <w:style w:type="paragraph" w:customStyle="1" w:styleId="115">
    <w:name w:val="表格"/>
    <w:basedOn w:val="1"/>
    <w:qFormat/>
    <w:uiPriority w:val="0"/>
    <w:pPr>
      <w:jc w:val="center"/>
      <w:textAlignment w:val="center"/>
    </w:pPr>
    <w:rPr>
      <w:rFonts w:ascii="华文细黑" w:hAnsi="华文细黑"/>
      <w:kern w:val="0"/>
      <w:szCs w:val="20"/>
    </w:rPr>
  </w:style>
  <w:style w:type="paragraph" w:customStyle="1" w:styleId="11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7">
    <w:name w:val="Table Paragraph"/>
    <w:basedOn w:val="1"/>
    <w:qFormat/>
    <w:uiPriority w:val="0"/>
  </w:style>
  <w:style w:type="paragraph" w:customStyle="1" w:styleId="118">
    <w:name w:val="CM99"/>
    <w:basedOn w:val="1"/>
    <w:next w:val="1"/>
    <w:qFormat/>
    <w:uiPriority w:val="0"/>
    <w:pPr>
      <w:autoSpaceDE w:val="0"/>
      <w:autoSpaceDN w:val="0"/>
      <w:spacing w:after="443"/>
      <w:jc w:val="left"/>
    </w:pPr>
    <w:rPr>
      <w:rFonts w:ascii="宋体"/>
      <w:sz w:val="24"/>
    </w:rPr>
  </w:style>
  <w:style w:type="paragraph" w:customStyle="1" w:styleId="119">
    <w:name w:val="正文 New"/>
    <w:qFormat/>
    <w:uiPriority w:val="0"/>
    <w:pPr>
      <w:widowControl w:val="0"/>
      <w:jc w:val="both"/>
    </w:pPr>
    <w:rPr>
      <w:rFonts w:ascii="仿宋_GB2312" w:hAnsi="宋体" w:eastAsia="仿宋_GB2312" w:cs="宋体"/>
      <w:color w:val="003366"/>
      <w:sz w:val="32"/>
      <w:szCs w:val="32"/>
      <w:lang w:val="en-US" w:eastAsia="zh-CN" w:bidi="ar-SA"/>
    </w:rPr>
  </w:style>
  <w:style w:type="paragraph" w:customStyle="1" w:styleId="120">
    <w:name w:val="页脚 New New"/>
    <w:basedOn w:val="121"/>
    <w:qFormat/>
    <w:uiPriority w:val="0"/>
    <w:pPr>
      <w:tabs>
        <w:tab w:val="center" w:pos="4153"/>
        <w:tab w:val="right" w:pos="8306"/>
      </w:tabs>
      <w:snapToGrid w:val="0"/>
      <w:jc w:val="left"/>
    </w:pPr>
    <w:rPr>
      <w:sz w:val="18"/>
      <w:szCs w:val="18"/>
    </w:rPr>
  </w:style>
  <w:style w:type="paragraph" w:customStyle="1" w:styleId="121">
    <w:name w:val="正文 New New"/>
    <w:qFormat/>
    <w:uiPriority w:val="0"/>
    <w:pPr>
      <w:widowControl w:val="0"/>
      <w:jc w:val="both"/>
    </w:pPr>
    <w:rPr>
      <w:rFonts w:ascii="仿宋_GB2312" w:hAnsi="宋体" w:eastAsia="仿宋_GB2312" w:cs="宋体"/>
      <w:color w:val="003366"/>
      <w:sz w:val="32"/>
      <w:szCs w:val="32"/>
      <w:lang w:val="en-US" w:eastAsia="zh-CN" w:bidi="ar-SA"/>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标题 3 New New New New"/>
    <w:basedOn w:val="124"/>
    <w:next w:val="124"/>
    <w:qFormat/>
    <w:uiPriority w:val="0"/>
    <w:pPr>
      <w:keepNext/>
      <w:keepLines/>
      <w:spacing w:before="260" w:after="260" w:line="413" w:lineRule="auto"/>
      <w:outlineLvl w:val="2"/>
    </w:pPr>
    <w:rPr>
      <w:b/>
      <w:bCs/>
      <w:sz w:val="32"/>
      <w:szCs w:val="32"/>
    </w:rPr>
  </w:style>
  <w:style w:type="paragraph" w:customStyle="1" w:styleId="124">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 New New New"/>
    <w:qFormat/>
    <w:uiPriority w:val="0"/>
    <w:pPr>
      <w:widowControl w:val="0"/>
      <w:jc w:val="both"/>
    </w:pPr>
    <w:rPr>
      <w:rFonts w:ascii="仿宋_GB2312" w:hAnsi="宋体" w:eastAsia="仿宋_GB2312" w:cs="宋体"/>
      <w:color w:val="003366"/>
      <w:sz w:val="32"/>
      <w:szCs w:val="32"/>
      <w:lang w:val="en-US" w:eastAsia="zh-CN" w:bidi="ar-SA"/>
    </w:rPr>
  </w:style>
  <w:style w:type="paragraph" w:customStyle="1" w:styleId="126">
    <w:name w:val="_Style 125"/>
    <w:qFormat/>
    <w:uiPriority w:val="0"/>
    <w:rPr>
      <w:rFonts w:ascii="Times New Roman" w:hAnsi="Times New Roman" w:eastAsia="宋体" w:cs="Times New Roman"/>
      <w:kern w:val="2"/>
      <w:sz w:val="21"/>
      <w:szCs w:val="24"/>
      <w:lang w:val="en-US" w:eastAsia="zh-CN" w:bidi="ar-SA"/>
    </w:rPr>
  </w:style>
  <w:style w:type="paragraph" w:customStyle="1" w:styleId="127">
    <w:name w:val="标题 3 New New New"/>
    <w:basedOn w:val="128"/>
    <w:next w:val="128"/>
    <w:qFormat/>
    <w:uiPriority w:val="0"/>
    <w:pPr>
      <w:keepNext/>
      <w:keepLines/>
      <w:spacing w:before="260" w:after="260" w:line="413" w:lineRule="auto"/>
      <w:outlineLvl w:val="2"/>
    </w:pPr>
    <w:rPr>
      <w:b/>
      <w:bCs/>
      <w:sz w:val="32"/>
      <w:szCs w:val="32"/>
    </w:rPr>
  </w:style>
  <w:style w:type="paragraph" w:customStyle="1" w:styleId="128">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样式2"/>
    <w:basedOn w:val="5"/>
    <w:qFormat/>
    <w:uiPriority w:val="0"/>
  </w:style>
  <w:style w:type="paragraph" w:customStyle="1" w:styleId="131">
    <w:name w:val="页脚 New New New"/>
    <w:basedOn w:val="125"/>
    <w:qFormat/>
    <w:uiPriority w:val="0"/>
    <w:pPr>
      <w:tabs>
        <w:tab w:val="center" w:pos="4153"/>
        <w:tab w:val="right" w:pos="8306"/>
      </w:tabs>
      <w:snapToGrid w:val="0"/>
      <w:jc w:val="left"/>
    </w:pPr>
    <w:rPr>
      <w:sz w:val="18"/>
      <w:szCs w:val="18"/>
    </w:rPr>
  </w:style>
  <w:style w:type="paragraph" w:customStyle="1" w:styleId="132">
    <w:name w:val="样式 标题 1 + 黑体 三号 非加粗 居中 段前: 6 磅 段后: 6 磅 行距: 固定值 20 磅"/>
    <w:basedOn w:val="3"/>
    <w:qFormat/>
    <w:uiPriority w:val="0"/>
    <w:pPr>
      <w:spacing w:before="120" w:after="120" w:line="400" w:lineRule="exact"/>
    </w:pPr>
    <w:rPr>
      <w:rFonts w:ascii="黑体" w:hAnsi="黑体" w:eastAsia="黑体"/>
      <w:b w:val="0"/>
      <w:bCs w:val="0"/>
      <w:sz w:val="32"/>
      <w:szCs w:val="20"/>
    </w:rPr>
  </w:style>
  <w:style w:type="paragraph" w:customStyle="1" w:styleId="133">
    <w:name w:val="标题 4 New New New"/>
    <w:basedOn w:val="128"/>
    <w:next w:val="128"/>
    <w:qFormat/>
    <w:uiPriority w:val="0"/>
    <w:pPr>
      <w:keepNext/>
      <w:keepLines/>
      <w:spacing w:before="280" w:after="290" w:line="372" w:lineRule="auto"/>
      <w:outlineLvl w:val="3"/>
    </w:pPr>
    <w:rPr>
      <w:rFonts w:ascii="Cambria" w:hAnsi="Cambria"/>
      <w:b/>
      <w:bCs/>
      <w:sz w:val="28"/>
      <w:szCs w:val="28"/>
    </w:rPr>
  </w:style>
  <w:style w:type="paragraph" w:customStyle="1" w:styleId="134">
    <w:name w:val="Char"/>
    <w:basedOn w:val="1"/>
    <w:qFormat/>
    <w:uiPriority w:val="0"/>
    <w:pPr>
      <w:tabs>
        <w:tab w:val="left" w:pos="360"/>
      </w:tabs>
    </w:pPr>
    <w:rPr>
      <w:sz w:val="24"/>
    </w:rPr>
  </w:style>
  <w:style w:type="paragraph" w:customStyle="1" w:styleId="135">
    <w:name w:val="表格文字"/>
    <w:basedOn w:val="1"/>
    <w:qFormat/>
    <w:uiPriority w:val="0"/>
    <w:pPr>
      <w:adjustRightInd w:val="0"/>
      <w:spacing w:line="420" w:lineRule="atLeast"/>
      <w:jc w:val="left"/>
      <w:textAlignment w:val="baseline"/>
    </w:pPr>
    <w:rPr>
      <w:kern w:val="0"/>
      <w:szCs w:val="20"/>
    </w:rPr>
  </w:style>
  <w:style w:type="paragraph" w:customStyle="1" w:styleId="136">
    <w:name w:val="标题 4 New New New New"/>
    <w:basedOn w:val="124"/>
    <w:next w:val="124"/>
    <w:qFormat/>
    <w:uiPriority w:val="0"/>
    <w:pPr>
      <w:keepNext/>
      <w:keepLines/>
      <w:spacing w:before="280" w:after="290" w:line="372" w:lineRule="auto"/>
      <w:outlineLvl w:val="3"/>
    </w:pPr>
    <w:rPr>
      <w:rFonts w:ascii="Cambria" w:hAnsi="Cambria"/>
      <w:b/>
      <w:bCs/>
      <w:sz w:val="28"/>
      <w:szCs w:val="28"/>
    </w:rPr>
  </w:style>
  <w:style w:type="paragraph" w:customStyle="1" w:styleId="137">
    <w:name w:val="_Style 136"/>
    <w:basedOn w:val="3"/>
    <w:next w:val="1"/>
    <w:qFormat/>
    <w:uiPriority w:val="0"/>
    <w:pPr>
      <w:tabs>
        <w:tab w:val="left" w:pos="1980"/>
      </w:tabs>
      <w:outlineLvl w:val="9"/>
    </w:pPr>
    <w:rPr>
      <w:rFonts w:ascii="Calibri" w:hAnsi="Calibri"/>
    </w:rPr>
  </w:style>
  <w:style w:type="paragraph" w:customStyle="1" w:styleId="138">
    <w:name w:val="标题 3 New New"/>
    <w:basedOn w:val="124"/>
    <w:next w:val="124"/>
    <w:qFormat/>
    <w:uiPriority w:val="0"/>
    <w:pPr>
      <w:keepNext/>
      <w:keepLines/>
      <w:spacing w:before="260" w:after="260" w:line="413" w:lineRule="auto"/>
      <w:outlineLvl w:val="2"/>
    </w:pPr>
    <w:rPr>
      <w:b/>
      <w:bCs/>
      <w:sz w:val="32"/>
      <w:szCs w:val="32"/>
    </w:rPr>
  </w:style>
  <w:style w:type="paragraph" w:customStyle="1" w:styleId="139">
    <w:name w:val="标题 4 New"/>
    <w:basedOn w:val="128"/>
    <w:next w:val="128"/>
    <w:qFormat/>
    <w:uiPriority w:val="0"/>
    <w:pPr>
      <w:keepNext/>
      <w:keepLines/>
      <w:spacing w:before="280" w:after="290" w:line="372" w:lineRule="auto"/>
      <w:outlineLvl w:val="3"/>
    </w:pPr>
    <w:rPr>
      <w:rFonts w:ascii="Cambria" w:hAnsi="Cambria"/>
      <w:b/>
      <w:bCs/>
      <w:sz w:val="28"/>
      <w:szCs w:val="28"/>
    </w:rPr>
  </w:style>
  <w:style w:type="paragraph" w:customStyle="1" w:styleId="140">
    <w:name w:val="样式4"/>
    <w:basedOn w:val="5"/>
    <w:qFormat/>
    <w:uiPriority w:val="0"/>
    <w:rPr>
      <w:rFonts w:eastAsia="Arial"/>
    </w:rPr>
  </w:style>
  <w:style w:type="paragraph" w:customStyle="1" w:styleId="141">
    <w:name w:val="页脚 New"/>
    <w:basedOn w:val="119"/>
    <w:qFormat/>
    <w:uiPriority w:val="0"/>
    <w:pPr>
      <w:tabs>
        <w:tab w:val="center" w:pos="4153"/>
        <w:tab w:val="right" w:pos="8306"/>
      </w:tabs>
      <w:snapToGrid w:val="0"/>
      <w:jc w:val="left"/>
    </w:pPr>
    <w:rPr>
      <w:sz w:val="18"/>
      <w:szCs w:val="18"/>
    </w:rPr>
  </w:style>
  <w:style w:type="paragraph" w:customStyle="1" w:styleId="142">
    <w:name w:val="标题 4 New New"/>
    <w:basedOn w:val="124"/>
    <w:next w:val="124"/>
    <w:qFormat/>
    <w:uiPriority w:val="0"/>
    <w:pPr>
      <w:keepNext/>
      <w:keepLines/>
      <w:spacing w:before="280" w:after="290" w:line="372" w:lineRule="auto"/>
      <w:outlineLvl w:val="3"/>
    </w:pPr>
    <w:rPr>
      <w:rFonts w:ascii="Cambria" w:hAnsi="Cambria"/>
      <w:b/>
      <w:bCs/>
      <w:sz w:val="28"/>
      <w:szCs w:val="28"/>
    </w:rPr>
  </w:style>
  <w:style w:type="paragraph" w:customStyle="1" w:styleId="143">
    <w:name w:val="样式1"/>
    <w:basedOn w:val="5"/>
    <w:qFormat/>
    <w:uiPriority w:val="0"/>
    <w:rPr>
      <w:rFonts w:eastAsia="Arial"/>
    </w:rPr>
  </w:style>
  <w:style w:type="paragraph" w:customStyle="1" w:styleId="144">
    <w:name w:val="样式 标题 2 + Times New Roman 四号 非加粗 段前: 5 磅 段后: 0 磅 行距: 固定值 20..."/>
    <w:basedOn w:val="4"/>
    <w:qFormat/>
    <w:uiPriority w:val="0"/>
    <w:pPr>
      <w:spacing w:before="100" w:line="400" w:lineRule="exact"/>
    </w:pPr>
    <w:rPr>
      <w:rFonts w:ascii="Times New Roman" w:hAnsi="Times New Roman"/>
      <w:b w:val="0"/>
      <w:bCs w:val="0"/>
      <w:sz w:val="28"/>
      <w:szCs w:val="20"/>
    </w:rPr>
  </w:style>
  <w:style w:type="paragraph" w:customStyle="1" w:styleId="145">
    <w:name w:val="样式 标题 3 + (中文) 黑体 小四 非加粗 段前: 7.8 磅 段后: 0 磅 行距: 固定值 20 磅"/>
    <w:basedOn w:val="5"/>
    <w:qFormat/>
    <w:uiPriority w:val="0"/>
    <w:pPr>
      <w:spacing w:line="400" w:lineRule="exact"/>
    </w:pPr>
    <w:rPr>
      <w:rFonts w:eastAsia="黑体"/>
      <w:b w:val="0"/>
      <w:bCs w:val="0"/>
      <w:szCs w:val="20"/>
    </w:rPr>
  </w:style>
  <w:style w:type="paragraph" w:customStyle="1" w:styleId="14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页眉 New"/>
    <w:basedOn w:val="1"/>
    <w:qFormat/>
    <w:uiPriority w:val="0"/>
    <w:pPr>
      <w:tabs>
        <w:tab w:val="center" w:pos="4153"/>
        <w:tab w:val="right" w:pos="8306"/>
      </w:tabs>
      <w:adjustRightInd w:val="0"/>
      <w:spacing w:line="240" w:lineRule="atLeast"/>
      <w:jc w:val="center"/>
      <w:textAlignment w:val="baseline"/>
    </w:pPr>
    <w:rPr>
      <w:kern w:val="0"/>
      <w:sz w:val="18"/>
      <w:szCs w:val="20"/>
    </w:rPr>
  </w:style>
  <w:style w:type="paragraph" w:customStyle="1" w:styleId="148">
    <w:name w:val="样式3"/>
    <w:basedOn w:val="5"/>
    <w:qFormat/>
    <w:uiPriority w:val="0"/>
    <w:rPr>
      <w:rFonts w:eastAsia="Arial"/>
    </w:rPr>
  </w:style>
  <w:style w:type="paragraph" w:customStyle="1" w:styleId="14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1"/>
    <w:basedOn w:val="1"/>
    <w:next w:val="1"/>
    <w:qFormat/>
    <w:uiPriority w:val="0"/>
  </w:style>
  <w:style w:type="paragraph" w:customStyle="1" w:styleId="15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2">
    <w:name w:val="标题 3 New"/>
    <w:basedOn w:val="128"/>
    <w:next w:val="128"/>
    <w:qFormat/>
    <w:uiPriority w:val="0"/>
    <w:pPr>
      <w:keepNext/>
      <w:keepLines/>
      <w:spacing w:before="260" w:after="260" w:line="413" w:lineRule="auto"/>
      <w:outlineLvl w:val="2"/>
    </w:pPr>
    <w:rPr>
      <w:b/>
      <w:bCs/>
      <w:sz w:val="32"/>
      <w:szCs w:val="32"/>
    </w:rPr>
  </w:style>
  <w:style w:type="paragraph" w:customStyle="1" w:styleId="15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54">
    <w:name w:val="List Paragraph"/>
    <w:basedOn w:val="1"/>
    <w:qFormat/>
    <w:uiPriority w:val="0"/>
    <w:pPr>
      <w:ind w:firstLine="420" w:firstLineChars="200"/>
    </w:pPr>
    <w:rPr>
      <w:rFonts w:ascii="Calibri" w:hAnsi="Calibri"/>
      <w:szCs w:val="22"/>
    </w:rPr>
  </w:style>
  <w:style w:type="paragraph" w:customStyle="1" w:styleId="155">
    <w:name w:val="z正文"/>
    <w:basedOn w:val="1"/>
    <w:qFormat/>
    <w:uiPriority w:val="0"/>
    <w:pPr>
      <w:ind w:firstLine="560" w:firstLineChars="200"/>
    </w:pPr>
    <w:rPr>
      <w:rFonts w:eastAsia="仿宋_GB2312" w:cs="宋体"/>
      <w:sz w:val="28"/>
    </w:rPr>
  </w:style>
  <w:style w:type="character" w:customStyle="1" w:styleId="156">
    <w:name w:val="_Style 155"/>
    <w:unhideWhenUsed/>
    <w:qFormat/>
    <w:uiPriority w:val="99"/>
    <w:rPr>
      <w:color w:val="605E5C"/>
      <w:shd w:val="clear" w:color="auto" w:fill="E1DFDD"/>
    </w:rPr>
  </w:style>
  <w:style w:type="character" w:customStyle="1" w:styleId="157">
    <w:name w:val="批注文字 字符1"/>
    <w:semiHidden/>
    <w:qFormat/>
    <w:uiPriority w:val="99"/>
    <w:rPr>
      <w:rFonts w:ascii="Calibri" w:hAnsi="Calibri" w:eastAsia="宋体" w:cs="Times New Roman"/>
      <w:sz w:val="22"/>
      <w:szCs w:val="22"/>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未处理的提及1"/>
    <w:basedOn w:val="48"/>
    <w:semiHidden/>
    <w:unhideWhenUsed/>
    <w:qFormat/>
    <w:uiPriority w:val="99"/>
    <w:rPr>
      <w:color w:val="605E5C"/>
      <w:shd w:val="clear" w:color="auto" w:fill="E1DFDD"/>
    </w:rPr>
  </w:style>
  <w:style w:type="character" w:customStyle="1" w:styleId="160">
    <w:name w:val="Char Char3"/>
    <w:qFormat/>
    <w:uiPriority w:val="0"/>
    <w:rPr>
      <w:rFonts w:ascii="Arial" w:hAnsi="Arial" w:eastAsia="黑体"/>
      <w:b/>
      <w:bCs/>
      <w:kern w:val="2"/>
      <w:sz w:val="32"/>
      <w:szCs w:val="32"/>
      <w:lang w:val="en-US" w:eastAsia="zh-CN" w:bidi="ar-SA"/>
    </w:rPr>
  </w:style>
  <w:style w:type="character" w:customStyle="1" w:styleId="161">
    <w:name w:val="书籍标题1"/>
    <w:qFormat/>
    <w:uiPriority w:val="0"/>
    <w:rPr>
      <w:b/>
      <w:bCs/>
      <w:smallCaps/>
      <w:spacing w:val="5"/>
    </w:rPr>
  </w:style>
  <w:style w:type="character" w:customStyle="1" w:styleId="162">
    <w:name w:val="明显参考1"/>
    <w:qFormat/>
    <w:uiPriority w:val="0"/>
    <w:rPr>
      <w:b/>
      <w:bCs/>
      <w:smallCaps/>
      <w:color w:val="C0504D"/>
      <w:spacing w:val="5"/>
      <w:u w:val="single"/>
    </w:rPr>
  </w:style>
  <w:style w:type="character" w:customStyle="1" w:styleId="163">
    <w:name w:val="Char Char71"/>
    <w:qFormat/>
    <w:uiPriority w:val="0"/>
    <w:rPr>
      <w:rFonts w:ascii="Arial" w:hAnsi="Arial" w:eastAsia="黑体"/>
      <w:b/>
      <w:bCs/>
      <w:kern w:val="2"/>
      <w:sz w:val="32"/>
      <w:szCs w:val="32"/>
      <w:lang w:val="en-US" w:eastAsia="zh-CN" w:bidi="ar-SA"/>
    </w:rPr>
  </w:style>
  <w:style w:type="character" w:customStyle="1" w:styleId="164">
    <w:name w:val="不明显参考1"/>
    <w:qFormat/>
    <w:uiPriority w:val="0"/>
    <w:rPr>
      <w:smallCaps/>
      <w:color w:val="C0504D"/>
      <w:u w:val="single"/>
    </w:rPr>
  </w:style>
  <w:style w:type="character" w:customStyle="1" w:styleId="165">
    <w:name w:val="Char Char21"/>
    <w:qFormat/>
    <w:uiPriority w:val="0"/>
    <w:rPr>
      <w:rFonts w:eastAsia="宋体"/>
      <w:kern w:val="2"/>
      <w:sz w:val="21"/>
      <w:szCs w:val="24"/>
      <w:lang w:val="en-US" w:eastAsia="zh-CN" w:bidi="ar-SA"/>
    </w:rPr>
  </w:style>
  <w:style w:type="character" w:customStyle="1" w:styleId="166">
    <w:name w:val="Char Char81"/>
    <w:qFormat/>
    <w:uiPriority w:val="0"/>
    <w:rPr>
      <w:rFonts w:ascii="Arial" w:hAnsi="Arial" w:eastAsia="黑体"/>
      <w:b/>
      <w:bCs/>
      <w:kern w:val="2"/>
      <w:sz w:val="32"/>
      <w:szCs w:val="32"/>
      <w:lang w:val="en-US" w:eastAsia="zh-CN" w:bidi="ar-SA"/>
    </w:rPr>
  </w:style>
  <w:style w:type="character" w:customStyle="1" w:styleId="167">
    <w:name w:val="不明显强调1"/>
    <w:qFormat/>
    <w:uiPriority w:val="0"/>
    <w:rPr>
      <w:i/>
      <w:iCs/>
      <w:color w:val="808080"/>
    </w:rPr>
  </w:style>
  <w:style w:type="character" w:customStyle="1" w:styleId="168">
    <w:name w:val="明显强调1"/>
    <w:qFormat/>
    <w:uiPriority w:val="0"/>
    <w:rPr>
      <w:b/>
      <w:bCs/>
      <w:i/>
      <w:iCs/>
      <w:color w:val="4F81BD"/>
    </w:rPr>
  </w:style>
  <w:style w:type="paragraph" w:customStyle="1" w:styleId="169">
    <w:name w:val="修订2"/>
    <w:qFormat/>
    <w:uiPriority w:val="0"/>
    <w:rPr>
      <w:rFonts w:ascii="Times New Roman" w:hAnsi="Times New Roman" w:eastAsia="宋体" w:cs="Times New Roman"/>
      <w:kern w:val="2"/>
      <w:sz w:val="21"/>
      <w:szCs w:val="24"/>
      <w:lang w:val="en-US" w:eastAsia="zh-CN" w:bidi="ar-SA"/>
    </w:rPr>
  </w:style>
  <w:style w:type="paragraph" w:customStyle="1" w:styleId="170">
    <w:name w:val="Char1"/>
    <w:basedOn w:val="1"/>
    <w:qFormat/>
    <w:uiPriority w:val="0"/>
    <w:pPr>
      <w:tabs>
        <w:tab w:val="left" w:pos="360"/>
      </w:tabs>
    </w:pPr>
    <w:rPr>
      <w:sz w:val="24"/>
    </w:rPr>
  </w:style>
  <w:style w:type="paragraph" w:customStyle="1" w:styleId="171">
    <w:name w:val="TOC 标题1"/>
    <w:basedOn w:val="3"/>
    <w:next w:val="1"/>
    <w:qFormat/>
    <w:uiPriority w:val="0"/>
    <w:pPr>
      <w:tabs>
        <w:tab w:val="left" w:pos="1980"/>
      </w:tabs>
      <w:adjustRightInd/>
      <w:snapToGrid/>
      <w:spacing w:before="340" w:after="330" w:line="576" w:lineRule="auto"/>
      <w:jc w:val="both"/>
      <w:outlineLvl w:val="9"/>
    </w:pPr>
    <w:rPr>
      <w:rFonts w:ascii="Calibri" w:hAnsi="Calibri" w:cs="Times New Roman"/>
      <w:sz w:val="44"/>
      <w:szCs w:val="44"/>
    </w:rPr>
  </w:style>
  <w:style w:type="paragraph" w:customStyle="1" w:styleId="172">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78BC-568B-4DD7-9013-5C7FBE92BAED}">
  <ds:schemaRefs/>
</ds:datastoreItem>
</file>

<file path=docProps/app.xml><?xml version="1.0" encoding="utf-8"?>
<Properties xmlns="http://schemas.openxmlformats.org/officeDocument/2006/extended-properties" xmlns:vt="http://schemas.openxmlformats.org/officeDocument/2006/docPropsVTypes">
  <Template>Normal</Template>
  <Company>e510</Company>
  <Pages>119</Pages>
  <Words>52149</Words>
  <Characters>56199</Characters>
  <Lines>612</Lines>
  <Paragraphs>172</Paragraphs>
  <TotalTime>0</TotalTime>
  <ScaleCrop>false</ScaleCrop>
  <LinksUpToDate>false</LinksUpToDate>
  <CharactersWithSpaces>68747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2023-02-17T02:14:00Z</dcterms:created>
  <dc:creator>e510</dc:creator>
  <cp:lastModifiedBy>C</cp:lastModifiedBy>
  <cp:lastPrinted>2020-01-03T01:32:00Z</cp:lastPrinted>
  <dcterms:modified xsi:type="dcterms:W3CDTF">2023-02-22T02:07:49Z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21555DD0C7C44F8C85737B0B1A5A227F</vt:lpwstr>
  </property>
</Properties>
</file>