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惠东县建设工地常态化疫情防控工作指引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为加强对全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建设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工地防控疫情的指导，有效预防、及时遏止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建设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工地新冠肺炎疫情的发生及蔓延，保护从业人员的身体健康与生命安全，最大限度地降低因疫情给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建设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工地造成的经济损失和不良影响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。根据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《广东省应对新型冠状病毒肺炎疫情分区分级防控工作指引（试行第二版）》</w:t>
      </w:r>
      <w:r>
        <w:rPr>
          <w:rFonts w:hint="eastAsia" w:ascii="仿宋" w:hAnsi="仿宋" w:eastAsia="仿宋" w:cs="仿宋"/>
          <w:sz w:val="32"/>
          <w:szCs w:val="32"/>
        </w:rPr>
        <w:t>《广东省房屋市政工程工地防控新冠肺炎疫情工作指引》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《惠州市企业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防控新冠肺炎疫情应急处置工作指引（试行）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惠州市建设工地常态化疫情防控工作指引（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2021年9月版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等有关要求,结合我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县建设工地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实际,特制定本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指引。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1、各专班成员、项目建设单位应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密切关注官方发布的疫情最新动态和疫情中高风险地区更新情况,及时向项目人员公布相关信息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应根据省、市疫情防控最新精神和要求调整工作方案、应急预案,成立建设、施工、监理以及专业分包、劳务分包等参建单位组成的疫情防控工作机构,落实工地全员疫情防控。不定期开展疫情应急处置演练(原则上每年不少于2次)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暂不从疫情中高风险地区招录人员。倡导参建人员“非必要不外出”,确需外出的要报项目部批准并报备行程安排。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每日核查工地参建人员(含居住工地以外人员)流动情况,发现有14天内中高风险地区旅居史的人员、解除隔离后的人员及公安部门推送的重点人群,要立即向“社区三人小组”报告,同时建立一人一档,动态跟进完善相应资料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新工人进场前应提前查验健康码、行程卡、疫苗接种记录,进行健康监测、核酸检测等健康措施,并视情况实行自我隔离。进场时应持有48小时核酸检测阴性证明,并完成疫苗接种。对新进场工人必须严格进行台账管理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办公区、生活区、施工区原则上只保留一个出入口。安排24小时专人值守,每班不少于2人。工地所有开通的人员、车辆出入口需设置健康观察点。　　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7、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严禁无关人员和近14天内来自中高风险地区的人员进入工地。外来人员进入工地应严格实施体温检测和健康码、行程码查验,登记姓名、身份证号、手机号码、交通方式、行程轨迹等情况。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对所有进出施工区、办公区、生活区人员应进行实名制管理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每日早晚2次对工地参建人员(含居住工地以外人员)体温检测,询问检查其身体健康状况,并做好台账。发现不适症状的,必须及时上报并进行核酸检测。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加强工地厨师、采购、保洁、保安等重点人员管理,每周至少开展一次核酸检测。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施工区域管理根据施工进度和作业实际,科学、合理组织人员进场作业,划分人员密集作业区域和非人员密集作业区域,在人员密集作业区域施工的人员须佩戴口罩,非人员密集作业区人员保持1米左右间隔距离。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工地办公区、集体宿舍、食堂、施工密集场等区域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应保持空气流通，加强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环境卫生和消毒管理。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、工地食堂应按规定取得食品卫生许可证，保持清洁和空气流通，餐具要通过煮沸消毒或利用消毒碗柜消毒。食堂人员处理食物，特别是处理冷冻肉制品和水产品前要注意佩戴口罩和清洁双手，食物要烧熟煮透。工地食堂食品等原料从正规渠道采购，保证来源可追溯，员工采取分餐、错峰用餐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14、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工地应在通风条件良好位置设置临时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隔离场所,与生活区、办公区等人员密集场所保持安全距离,有条件的应选择具有独立卫生间的房间作为临时隔离点,隔离场所内配备体温计、洗手液,纸巾、口罩、一次性手套、消毒剂等个人防护用品和消毒用品及带盖的垃圾桶。工地临时隔离点配置数量原则上不少于2间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提前配备足够的防疫物资,按30天满负荷使用计算,配齐备足测温设备、水银温度计、一次性医用外科口罩、专业消毒纸巾、医用乳胶手套、84消毒剂、含氯消毒液等防疫物资。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16、定期开展爱国卫生运动，落实病媒生物控制措施，强化防蚊灭蚊灭鼠工作，配齐防蚊灭蚊灭鼠药水和工具，加强工地内食堂、宿舍、公共卫生间等清洁卫生和积水处理，做到垃圾日产日清。严防病媒孳生传播，降低登革热，流行性出血热等易发媒介传染性疾病与新冠疫情叠加风险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17、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通过海报、电子屏、宣传栏、微信、短信以及教育培训等方式加强新冠肺炎防控知识宣传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18、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工地应常态化开展疫情防控检查。在开展安全生产检查时应同步检查疫情防控措施落实情况,对发现的问题及时闭合整改。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footerReference r:id="rId3" w:type="default"/>
      <w:pgSz w:w="11906" w:h="16838"/>
      <w:pgMar w:top="1361" w:right="1474" w:bottom="136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A979F"/>
    <w:multiLevelType w:val="multilevel"/>
    <w:tmpl w:val="3CCA979F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2"/>
      <w:isLgl/>
      <w:suff w:val="nothing"/>
      <w:lvlText w:val="%3．"/>
      <w:lvlJc w:val="left"/>
      <w:pPr>
        <w:tabs>
          <w:tab w:val="left" w:pos="0"/>
        </w:tabs>
        <w:ind w:left="420" w:leftChars="0" w:hanging="20" w:firstLineChars="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345FC"/>
    <w:rsid w:val="033A3873"/>
    <w:rsid w:val="03E13F00"/>
    <w:rsid w:val="081358C4"/>
    <w:rsid w:val="086719EC"/>
    <w:rsid w:val="0A486971"/>
    <w:rsid w:val="18AD1DB6"/>
    <w:rsid w:val="2331637E"/>
    <w:rsid w:val="24C174F6"/>
    <w:rsid w:val="25BF17E2"/>
    <w:rsid w:val="2BBB602B"/>
    <w:rsid w:val="2EC66EAA"/>
    <w:rsid w:val="34150044"/>
    <w:rsid w:val="35D2611E"/>
    <w:rsid w:val="37DA2C99"/>
    <w:rsid w:val="38755388"/>
    <w:rsid w:val="38B8482F"/>
    <w:rsid w:val="3D1833B8"/>
    <w:rsid w:val="3DEF6798"/>
    <w:rsid w:val="3EC8079A"/>
    <w:rsid w:val="3F720622"/>
    <w:rsid w:val="45906123"/>
    <w:rsid w:val="464B1CEF"/>
    <w:rsid w:val="46D705AC"/>
    <w:rsid w:val="4970554E"/>
    <w:rsid w:val="53BF3995"/>
    <w:rsid w:val="53C3494D"/>
    <w:rsid w:val="548B3EF3"/>
    <w:rsid w:val="56383A7E"/>
    <w:rsid w:val="5B5371C3"/>
    <w:rsid w:val="5CD177AE"/>
    <w:rsid w:val="64131886"/>
    <w:rsid w:val="671D67F9"/>
    <w:rsid w:val="6A3C6F44"/>
    <w:rsid w:val="6B440EDE"/>
    <w:rsid w:val="6CA260A8"/>
    <w:rsid w:val="6F5B6251"/>
    <w:rsid w:val="72925D85"/>
    <w:rsid w:val="75345C49"/>
    <w:rsid w:val="7BA3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keepNext/>
      <w:keepLines w:val="0"/>
      <w:numPr>
        <w:ilvl w:val="2"/>
        <w:numId w:val="1"/>
      </w:numPr>
      <w:spacing w:beforeLines="0" w:beforeAutospacing="0" w:afterLines="0" w:afterAutospacing="0" w:line="560" w:lineRule="exact"/>
      <w:ind w:left="420" w:hanging="20" w:firstLineChars="0"/>
      <w:outlineLvl w:val="2"/>
    </w:pPr>
    <w:rPr>
      <w:rFonts w:eastAsia="仿宋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FF"/>
      <w:u w:val="none"/>
    </w:rPr>
  </w:style>
  <w:style w:type="character" w:styleId="17">
    <w:name w:val="HTML Code"/>
    <w:basedOn w:val="9"/>
    <w:qFormat/>
    <w:uiPriority w:val="0"/>
    <w:rPr>
      <w:rFonts w:ascii="Courier New" w:hAnsi="Courier New"/>
      <w:sz w:val="14"/>
      <w:szCs w:val="14"/>
    </w:rPr>
  </w:style>
  <w:style w:type="character" w:styleId="18">
    <w:name w:val="HTML Cite"/>
    <w:basedOn w:val="9"/>
    <w:qFormat/>
    <w:uiPriority w:val="0"/>
  </w:style>
  <w:style w:type="character" w:customStyle="1" w:styleId="19">
    <w:name w:val="styhelp"/>
    <w:basedOn w:val="9"/>
    <w:qFormat/>
    <w:uiPriority w:val="0"/>
  </w:style>
  <w:style w:type="character" w:customStyle="1" w:styleId="20">
    <w:name w:val="ex"/>
    <w:basedOn w:val="9"/>
    <w:qFormat/>
    <w:uiPriority w:val="0"/>
  </w:style>
  <w:style w:type="character" w:customStyle="1" w:styleId="21">
    <w:name w:val="pw"/>
    <w:basedOn w:val="9"/>
    <w:qFormat/>
    <w:uiPriority w:val="0"/>
  </w:style>
  <w:style w:type="character" w:customStyle="1" w:styleId="22">
    <w:name w:val="mail"/>
    <w:basedOn w:val="9"/>
    <w:qFormat/>
    <w:uiPriority w:val="0"/>
  </w:style>
  <w:style w:type="character" w:customStyle="1" w:styleId="23">
    <w:name w:val="itc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惠东县住建局</Company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2020-03-11T01:12:00Z</dcterms:created>
  <dc:creator>邱伟奎</dc:creator>
  <cp:lastModifiedBy>邱伟奎</cp:lastModifiedBy>
  <cp:lastPrinted>2021-08-31T01:26:00Z</cp:lastPrinted>
  <dcterms:modified xsi:type="dcterms:W3CDTF">2021-09-14T01:29:41Z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