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附件1：</w:t>
      </w:r>
    </w:p>
    <w:p>
      <w:pPr>
        <w:jc w:val="center"/>
        <w:rPr>
          <w:rFonts w:hint="default" w:eastAsiaTheme="minorEastAsia"/>
          <w:b/>
          <w:bCs/>
          <w:sz w:val="40"/>
          <w:szCs w:val="48"/>
          <w:lang w:val="en-US" w:eastAsia="zh-CN"/>
        </w:rPr>
      </w:pPr>
      <w:r>
        <w:rPr>
          <w:rFonts w:hint="eastAsia" w:eastAsiaTheme="minorEastAsia"/>
          <w:b/>
          <w:bCs/>
          <w:sz w:val="40"/>
          <w:szCs w:val="48"/>
          <w:lang w:val="en-US" w:eastAsia="zh-CN"/>
        </w:rPr>
        <w:t>惠州市_____县（区）</w:t>
      </w:r>
      <w:r>
        <w:rPr>
          <w:rFonts w:hint="eastAsia"/>
          <w:b/>
          <w:bCs/>
          <w:sz w:val="40"/>
          <w:szCs w:val="48"/>
          <w:lang w:val="en-US" w:eastAsia="zh-CN"/>
        </w:rPr>
        <w:t>绿色建筑工程分部竣工验收自评估报告</w:t>
      </w:r>
    </w:p>
    <w:tbl>
      <w:tblPr>
        <w:tblStyle w:val="2"/>
        <w:tblW w:w="13080" w:type="dxa"/>
        <w:tblInd w:w="0" w:type="dxa"/>
        <w:shd w:val="clear" w:color="auto" w:fill="auto"/>
        <w:tblLayout w:type="fixed"/>
        <w:tblCellMar>
          <w:top w:w="0" w:type="dxa"/>
          <w:left w:w="0" w:type="dxa"/>
          <w:bottom w:w="0" w:type="dxa"/>
          <w:right w:w="0" w:type="dxa"/>
        </w:tblCellMar>
      </w:tblPr>
      <w:tblGrid>
        <w:gridCol w:w="690"/>
        <w:gridCol w:w="462"/>
        <w:gridCol w:w="33"/>
        <w:gridCol w:w="504"/>
        <w:gridCol w:w="488"/>
        <w:gridCol w:w="403"/>
        <w:gridCol w:w="1035"/>
        <w:gridCol w:w="690"/>
        <w:gridCol w:w="123"/>
        <w:gridCol w:w="2112"/>
        <w:gridCol w:w="574"/>
        <w:gridCol w:w="563"/>
        <w:gridCol w:w="558"/>
        <w:gridCol w:w="555"/>
        <w:gridCol w:w="465"/>
        <w:gridCol w:w="123"/>
        <w:gridCol w:w="222"/>
        <w:gridCol w:w="735"/>
        <w:gridCol w:w="435"/>
        <w:gridCol w:w="885"/>
        <w:gridCol w:w="450"/>
        <w:gridCol w:w="975"/>
      </w:tblGrid>
      <w:tr>
        <w:tblPrEx>
          <w:shd w:val="clear" w:color="auto" w:fill="auto"/>
          <w:tblCellMar>
            <w:top w:w="0" w:type="dxa"/>
            <w:left w:w="0" w:type="dxa"/>
            <w:bottom w:w="0" w:type="dxa"/>
            <w:right w:w="0" w:type="dxa"/>
          </w:tblCellMar>
        </w:tblPrEx>
        <w:trPr>
          <w:trHeight w:val="702" w:hRule="atLeast"/>
        </w:trPr>
        <w:tc>
          <w:tcPr>
            <w:tcW w:w="13080" w:type="dxa"/>
            <w:gridSpan w:val="22"/>
            <w:tcBorders>
              <w:top w:val="single" w:color="000000" w:sz="12"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项 目 总 体 情 况</w:t>
            </w: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项目名称</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lang w:eastAsia="zh-CN"/>
              </w:rPr>
            </w:pPr>
            <w:r>
              <w:rPr>
                <w:rFonts w:hint="eastAsia" w:ascii="仿宋_GB2312" w:hAnsi="宋体" w:eastAsia="仿宋_GB2312" w:cs="仿宋_GB2312"/>
                <w:b/>
                <w:i w:val="0"/>
                <w:color w:val="000000"/>
                <w:sz w:val="20"/>
                <w:szCs w:val="20"/>
                <w:u w:val="none"/>
                <w:lang w:eastAsia="zh-CN"/>
              </w:rPr>
              <w:t>绿色建筑工程项目自评估时间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项目地址</w:t>
            </w:r>
          </w:p>
        </w:tc>
        <w:tc>
          <w:tcPr>
            <w:tcW w:w="7638" w:type="dxa"/>
            <w:gridSpan w:val="1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4"/>
                <w:szCs w:val="14"/>
                <w:u w:val="none"/>
              </w:rPr>
            </w:pPr>
            <w:r>
              <w:rPr>
                <w:rFonts w:hint="default" w:ascii="仿宋_GB2312" w:hAnsi="宋体" w:eastAsia="仿宋_GB2312" w:cs="仿宋_GB2312"/>
                <w:b/>
                <w:i w:val="0"/>
                <w:color w:val="000000"/>
                <w:kern w:val="0"/>
                <w:sz w:val="18"/>
                <w:szCs w:val="18"/>
                <w:u w:val="none"/>
                <w:lang w:val="en-US" w:eastAsia="zh-CN" w:bidi="ar"/>
              </w:rPr>
              <w:t>惠州市</w:t>
            </w:r>
            <w:r>
              <w:rPr>
                <w:rStyle w:val="4"/>
                <w:rFonts w:hAnsi="宋体"/>
                <w:sz w:val="18"/>
                <w:szCs w:val="18"/>
                <w:lang w:val="en-US" w:eastAsia="zh-CN" w:bidi="ar"/>
              </w:rPr>
              <w:t xml:space="preserve">     </w:t>
            </w:r>
            <w:r>
              <w:rPr>
                <w:rStyle w:val="5"/>
                <w:rFonts w:hAnsi="宋体"/>
                <w:sz w:val="18"/>
                <w:szCs w:val="18"/>
                <w:lang w:val="en-US" w:eastAsia="zh-CN" w:bidi="ar"/>
              </w:rPr>
              <w:t>县（区）</w:t>
            </w:r>
            <w:r>
              <w:rPr>
                <w:rStyle w:val="4"/>
                <w:rFonts w:hAnsi="宋体"/>
                <w:sz w:val="18"/>
                <w:szCs w:val="18"/>
                <w:lang w:val="en-US" w:eastAsia="zh-CN" w:bidi="ar"/>
              </w:rPr>
              <w:t xml:space="preserve">      </w:t>
            </w:r>
            <w:r>
              <w:rPr>
                <w:rStyle w:val="5"/>
                <w:rFonts w:hAnsi="宋体"/>
                <w:sz w:val="18"/>
                <w:szCs w:val="18"/>
                <w:lang w:val="en-US" w:eastAsia="zh-CN" w:bidi="ar"/>
              </w:rPr>
              <w:t>街道（镇）</w:t>
            </w:r>
            <w:r>
              <w:rPr>
                <w:rStyle w:val="4"/>
                <w:rFonts w:hAnsi="宋体"/>
                <w:sz w:val="18"/>
                <w:szCs w:val="18"/>
                <w:lang w:val="en-US" w:eastAsia="zh-CN" w:bidi="ar"/>
              </w:rPr>
              <w:t xml:space="preserve">      </w:t>
            </w:r>
            <w:r>
              <w:rPr>
                <w:rStyle w:val="5"/>
                <w:rFonts w:hAnsi="宋体"/>
                <w:sz w:val="18"/>
                <w:szCs w:val="18"/>
                <w:lang w:val="en-US" w:eastAsia="zh-CN" w:bidi="ar"/>
              </w:rPr>
              <w:t>居（村）</w:t>
            </w:r>
            <w:r>
              <w:rPr>
                <w:rStyle w:val="4"/>
                <w:rFonts w:hAnsi="宋体"/>
                <w:sz w:val="18"/>
                <w:szCs w:val="18"/>
                <w:lang w:val="en-US" w:eastAsia="zh-CN" w:bidi="ar"/>
              </w:rPr>
              <w:t xml:space="preserve">                                   .</w:t>
            </w: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工程项目开工时间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7638" w:type="dxa"/>
            <w:gridSpan w:val="1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4"/>
                <w:szCs w:val="14"/>
                <w:u w:val="none"/>
              </w:rPr>
            </w:pP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工程项目主体      验收时间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建设单位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仿宋_GB2312" w:hAnsi="宋体" w:eastAsia="仿宋_GB2312" w:cs="仿宋_GB2312"/>
                <w:b w:val="0"/>
                <w:bCs/>
                <w:i w:val="0"/>
                <w:color w:val="BFBFBF" w:themeColor="background1" w:themeShade="BF"/>
                <w:sz w:val="20"/>
                <w:szCs w:val="20"/>
                <w:u w:val="none"/>
                <w:lang w:eastAsia="zh-CN"/>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施工图审查机构</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监理单位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勘察单位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咨询单位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val="0"/>
                <w:bCs/>
                <w:i w:val="0"/>
                <w:color w:val="BFBFBF" w:themeColor="background1" w:themeShade="BF"/>
                <w:sz w:val="20"/>
                <w:szCs w:val="20"/>
                <w:u w:val="none"/>
              </w:rPr>
            </w:pPr>
            <w:r>
              <w:rPr>
                <w:rFonts w:hint="eastAsia" w:ascii="仿宋_GB2312" w:hAnsi="宋体" w:eastAsia="仿宋_GB2312" w:cs="仿宋_GB2312"/>
                <w:b w:val="0"/>
                <w:bCs/>
                <w:i w:val="0"/>
                <w:color w:val="BFBFBF" w:themeColor="background1" w:themeShade="BF"/>
                <w:sz w:val="20"/>
                <w:szCs w:val="20"/>
                <w:u w:val="none"/>
                <w:lang w:eastAsia="zh-CN"/>
              </w:rPr>
              <w:t>（单位名称）</w:t>
            </w: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3365"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绿色建筑建设目标：</w:t>
            </w:r>
            <w:r>
              <w:rPr>
                <w:rFonts w:hint="eastAsia" w:ascii="仿宋" w:hAnsi="仿宋" w:eastAsia="仿宋" w:cs="仿宋"/>
                <w:sz w:val="24"/>
                <w:lang w:val="en-US" w:eastAsia="zh-CN"/>
              </w:rPr>
              <w:t xml:space="preserve">国标   </w:t>
            </w:r>
            <w:r>
              <w:rPr>
                <w:rFonts w:hint="eastAsia" w:ascii="仿宋" w:hAnsi="仿宋" w:eastAsia="仿宋" w:cs="仿宋"/>
                <w:sz w:val="24"/>
              </w:rPr>
              <w:t>□基本级  □一星  □二星  □三星</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省标   </w:t>
            </w:r>
            <w:r>
              <w:rPr>
                <w:rFonts w:hint="eastAsia" w:ascii="仿宋" w:hAnsi="仿宋" w:eastAsia="仿宋" w:cs="仿宋"/>
                <w:sz w:val="24"/>
              </w:rPr>
              <w:t>□基本级  □一星  □二星  □三星</w:t>
            </w:r>
          </w:p>
          <w:p>
            <w:pPr>
              <w:spacing w:line="360" w:lineRule="auto"/>
              <w:rPr>
                <w:rFonts w:hint="eastAsia" w:ascii="仿宋" w:hAnsi="仿宋" w:eastAsia="仿宋" w:cs="仿宋"/>
                <w:sz w:val="24"/>
              </w:rPr>
            </w:pPr>
            <w:r>
              <w:rPr>
                <w:rFonts w:hint="eastAsia" w:ascii="仿宋" w:hAnsi="仿宋" w:eastAsia="仿宋" w:cs="仿宋"/>
                <w:sz w:val="24"/>
              </w:rPr>
              <w:t>建筑</w:t>
            </w:r>
            <w:r>
              <w:rPr>
                <w:rFonts w:hint="eastAsia" w:ascii="仿宋" w:hAnsi="仿宋" w:eastAsia="仿宋" w:cs="仿宋"/>
                <w:sz w:val="24"/>
                <w:lang w:val="en-US" w:eastAsia="zh-CN"/>
              </w:rPr>
              <w:t>类型</w:t>
            </w:r>
            <w:r>
              <w:rPr>
                <w:rFonts w:hint="eastAsia" w:ascii="仿宋" w:hAnsi="仿宋" w:eastAsia="仿宋" w:cs="仿宋"/>
                <w:sz w:val="24"/>
              </w:rPr>
              <w:t>：□居住建筑  □公共建筑  □综合功能建筑</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color w:val="000000"/>
                <w:sz w:val="24"/>
                <w:szCs w:val="24"/>
                <w:shd w:val="clear" w:color="auto" w:fill="FFFFFF"/>
              </w:rPr>
              <w:t>结构类型</w:t>
            </w:r>
            <w:r>
              <w:rPr>
                <w:rFonts w:hint="eastAsia" w:ascii="仿宋" w:hAnsi="仿宋" w:eastAsia="仿宋" w:cs="仿宋"/>
                <w:color w:val="000000"/>
                <w:sz w:val="24"/>
                <w:szCs w:val="24"/>
                <w:shd w:val="clear" w:color="auto" w:fill="FFFFFF"/>
                <w:lang w:eastAsia="zh-CN"/>
              </w:rPr>
              <w:t xml:space="preserve">：□框架    □剪力墙   □框架-剪力墙 </w:t>
            </w:r>
            <w:r>
              <w:rPr>
                <w:rFonts w:hint="eastAsia" w:ascii="仿宋" w:hAnsi="仿宋" w:eastAsia="仿宋" w:cs="仿宋"/>
                <w:color w:val="000000"/>
                <w:sz w:val="24"/>
                <w:szCs w:val="24"/>
                <w:shd w:val="clear" w:color="auto" w:fill="FFFFFF"/>
                <w:lang w:val="en-US" w:eastAsia="zh-CN"/>
              </w:rPr>
              <w:t xml:space="preserve">  □钢结构   □砖混   □其他：</w:t>
            </w:r>
            <w:r>
              <w:rPr>
                <w:rFonts w:hint="eastAsia" w:ascii="仿宋" w:hAnsi="仿宋" w:eastAsia="仿宋" w:cs="仿宋"/>
                <w:color w:val="000000"/>
                <w:sz w:val="24"/>
                <w:szCs w:val="24"/>
                <w:u w:val="single"/>
                <w:shd w:val="clear" w:color="auto" w:fill="FFFFFF"/>
                <w:lang w:val="en-US" w:eastAsia="zh-CN"/>
              </w:rPr>
              <w:t xml:space="preserve">         </w:t>
            </w:r>
          </w:p>
          <w:p>
            <w:pPr>
              <w:spacing w:line="360" w:lineRule="auto"/>
              <w:rPr>
                <w:rFonts w:ascii="仿宋" w:hAnsi="仿宋" w:eastAsia="仿宋" w:cs="仿宋"/>
                <w:sz w:val="24"/>
              </w:rPr>
            </w:pPr>
            <w:r>
              <w:rPr>
                <w:rFonts w:hint="eastAsia" w:ascii="仿宋" w:hAnsi="仿宋" w:eastAsia="仿宋" w:cs="仿宋"/>
                <w:sz w:val="24"/>
              </w:rPr>
              <w:t xml:space="preserve">交楼标准：□毛坯 </w:t>
            </w:r>
            <w:r>
              <w:rPr>
                <w:rFonts w:hint="eastAsia" w:ascii="仿宋" w:hAnsi="仿宋" w:eastAsia="仿宋" w:cs="仿宋"/>
                <w:sz w:val="24"/>
                <w:lang w:val="en-US" w:eastAsia="zh-CN"/>
              </w:rPr>
              <w:t xml:space="preserve">  </w:t>
            </w:r>
            <w:r>
              <w:rPr>
                <w:rFonts w:hint="eastAsia" w:ascii="仿宋" w:hAnsi="仿宋" w:eastAsia="仿宋" w:cs="仿宋"/>
                <w:sz w:val="24"/>
              </w:rPr>
              <w:t xml:space="preserve"> □精装修</w:t>
            </w:r>
          </w:p>
          <w:p>
            <w:pPr>
              <w:spacing w:line="360" w:lineRule="auto"/>
              <w:rPr>
                <w:rFonts w:ascii="仿宋" w:hAnsi="仿宋" w:eastAsia="仿宋" w:cs="仿宋"/>
                <w:sz w:val="24"/>
              </w:rPr>
            </w:pPr>
            <w:r>
              <w:rPr>
                <w:rFonts w:hint="eastAsia" w:ascii="仿宋" w:hAnsi="仿宋" w:eastAsia="仿宋" w:cs="仿宋"/>
                <w:sz w:val="24"/>
              </w:rPr>
              <w:t>用地面积：</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hint="default" w:ascii="仿宋" w:hAnsi="仿宋" w:eastAsia="仿宋" w:cs="仿宋"/>
                <w:sz w:val="24"/>
                <w:lang w:val="en-US" w:eastAsia="zh-CN"/>
              </w:rPr>
            </w:pPr>
            <w:r>
              <w:rPr>
                <w:rFonts w:hint="eastAsia" w:ascii="仿宋" w:hAnsi="仿宋" w:eastAsia="仿宋" w:cs="仿宋"/>
                <w:sz w:val="24"/>
              </w:rPr>
              <w:t>建筑面积：地上</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rPr>
              <w:t xml:space="preserve"> 地下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建筑高度：</w:t>
            </w:r>
            <w:r>
              <w:rPr>
                <w:rFonts w:hint="eastAsia" w:ascii="仿宋" w:hAnsi="仿宋" w:eastAsia="仿宋" w:cs="仿宋"/>
                <w:sz w:val="24"/>
                <w:u w:val="single"/>
              </w:rPr>
              <w:t xml:space="preserve">     </w:t>
            </w:r>
            <w:r>
              <w:rPr>
                <w:rFonts w:hint="eastAsia" w:ascii="仿宋" w:hAnsi="仿宋" w:eastAsia="仿宋" w:cs="仿宋"/>
                <w:sz w:val="24"/>
              </w:rPr>
              <w:t xml:space="preserve">m </w:t>
            </w:r>
            <w:r>
              <w:rPr>
                <w:rFonts w:hint="eastAsia" w:ascii="仿宋" w:hAnsi="仿宋" w:eastAsia="仿宋" w:cs="仿宋"/>
                <w:sz w:val="24"/>
                <w:lang w:eastAsia="zh-CN"/>
              </w:rPr>
              <w:t>；</w:t>
            </w:r>
            <w:r>
              <w:rPr>
                <w:rFonts w:hint="eastAsia" w:ascii="仿宋" w:hAnsi="仿宋" w:eastAsia="仿宋" w:cs="仿宋"/>
                <w:sz w:val="24"/>
              </w:rPr>
              <w:t xml:space="preserve"> 层数</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CellMar>
            <w:top w:w="0" w:type="dxa"/>
            <w:left w:w="0" w:type="dxa"/>
            <w:bottom w:w="0" w:type="dxa"/>
            <w:right w:w="0" w:type="dxa"/>
          </w:tblCellMar>
        </w:tblPrEx>
        <w:trPr>
          <w:trHeight w:val="122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r>
              <w:rPr>
                <w:rFonts w:hint="eastAsia" w:ascii="黑体" w:hAnsi="黑体" w:eastAsia="黑体" w:cs="黑体"/>
                <w:sz w:val="24"/>
                <w:lang w:val="en-US" w:eastAsia="zh-CN"/>
              </w:rPr>
              <w:t>项目自评</w:t>
            </w:r>
          </w:p>
        </w:tc>
        <w:tc>
          <w:tcPr>
            <w:tcW w:w="11928" w:type="dxa"/>
            <w:gridSpan w:val="2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p>
        </w:tc>
      </w:tr>
      <w:tr>
        <w:tblPrEx>
          <w:tblCellMar>
            <w:top w:w="0" w:type="dxa"/>
            <w:left w:w="0" w:type="dxa"/>
            <w:bottom w:w="0" w:type="dxa"/>
            <w:right w:w="0" w:type="dxa"/>
          </w:tblCellMar>
        </w:tblPrEx>
        <w:trPr>
          <w:trHeight w:val="7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r>
              <w:rPr>
                <w:rFonts w:hint="eastAsia" w:ascii="黑体" w:hAnsi="黑体" w:eastAsia="黑体" w:cs="黑体"/>
                <w:b/>
                <w:bCs/>
                <w:sz w:val="28"/>
                <w:szCs w:val="28"/>
              </w:rPr>
              <w:t>地</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础</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结</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构</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r>
      <w:tr>
        <w:tblPrEx>
          <w:tblCellMar>
            <w:top w:w="0" w:type="dxa"/>
            <w:left w:w="0" w:type="dxa"/>
            <w:bottom w:w="0" w:type="dxa"/>
            <w:right w:w="0" w:type="dxa"/>
          </w:tblCellMar>
        </w:tblPrEx>
        <w:trPr>
          <w:trHeight w:val="7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筑</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饰</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修</w:t>
            </w:r>
          </w:p>
        </w:tc>
      </w:tr>
      <w:tr>
        <w:tblPrEx>
          <w:tblCellMar>
            <w:top w:w="0" w:type="dxa"/>
            <w:left w:w="0" w:type="dxa"/>
            <w:bottom w:w="0" w:type="dxa"/>
            <w:right w:w="0" w:type="dxa"/>
          </w:tblCellMar>
        </w:tblPrEx>
        <w:trPr>
          <w:trHeight w:val="729"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通</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调</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工</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程</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筑</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电</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气</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能</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筑</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室</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外</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环</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境</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0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kern w:val="0"/>
                <w:sz w:val="28"/>
                <w:szCs w:val="28"/>
                <w:u w:val="none"/>
                <w:lang w:val="en-US" w:eastAsia="zh-CN" w:bidi="ar"/>
              </w:rPr>
            </w:pPr>
            <w:r>
              <w:rPr>
                <w:rFonts w:hint="eastAsia" w:ascii="黑体" w:hAnsi="宋体" w:eastAsia="黑体" w:cs="黑体"/>
                <w:b/>
                <w:i w:val="0"/>
                <w:color w:val="000000"/>
                <w:kern w:val="0"/>
                <w:sz w:val="28"/>
                <w:szCs w:val="28"/>
                <w:u w:val="none"/>
                <w:lang w:val="en-US" w:eastAsia="zh-CN" w:bidi="ar"/>
              </w:rPr>
              <w:t>建 筑 给 水 排 水</w:t>
            </w:r>
          </w:p>
        </w:tc>
      </w:tr>
      <w:tr>
        <w:tblPrEx>
          <w:tblCellMar>
            <w:top w:w="0" w:type="dxa"/>
            <w:left w:w="0" w:type="dxa"/>
            <w:bottom w:w="0" w:type="dxa"/>
            <w:right w:w="0" w:type="dxa"/>
          </w:tblCellMar>
        </w:tblPrEx>
        <w:trPr>
          <w:trHeight w:val="70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0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0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围 护 结 构 建 筑 热 工 设 计 与 验 收 情 况</w:t>
            </w: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(包括非透明幕墙)</w:t>
            </w:r>
            <w:r>
              <w:rPr>
                <w:rStyle w:val="6"/>
                <w:lang w:val="en-US" w:eastAsia="zh-CN" w:bidi="ar"/>
              </w:rPr>
              <w:br w:type="textWrapping"/>
            </w:r>
            <w:r>
              <w:rPr>
                <w:rStyle w:val="6"/>
                <w:lang w:val="en-US" w:eastAsia="zh-CN" w:bidi="ar"/>
              </w:rPr>
              <w:t>外墙</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4851"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材料类型、品种、厚度</w:t>
            </w:r>
          </w:p>
        </w:tc>
        <w:tc>
          <w:tcPr>
            <w:tcW w:w="574" w:type="dxa"/>
            <w:vMerge w:val="restart"/>
            <w:tcBorders>
              <w:top w:val="single" w:color="000000" w:sz="8" w:space="0"/>
              <w:left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4991" w:type="dxa"/>
            <w:gridSpan w:val="10"/>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材料类型、品种、厚度</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使用比例</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填充墙</w:t>
            </w: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填充墙</w:t>
            </w: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single"/>
              </w:rPr>
            </w:pPr>
            <w:r>
              <w:rPr>
                <w:rFonts w:hint="default" w:ascii="仿宋_GB2312" w:hAnsi="宋体" w:eastAsia="仿宋_GB2312" w:cs="仿宋_GB2312"/>
                <w:b/>
                <w:i w:val="0"/>
                <w:color w:val="000000"/>
                <w:kern w:val="0"/>
                <w:sz w:val="21"/>
                <w:szCs w:val="21"/>
                <w:u w:val="single"/>
                <w:lang w:val="en-US" w:eastAsia="zh-CN" w:bidi="ar"/>
              </w:rPr>
              <w:t xml:space="preserve">    </w:t>
            </w:r>
            <w:r>
              <w:rPr>
                <w:rStyle w:val="7"/>
                <w:rFonts w:hAnsi="宋体"/>
                <w:sz w:val="21"/>
                <w:szCs w:val="21"/>
                <w:u w:val="single"/>
                <w:lang w:val="en-US" w:eastAsia="zh-CN" w:bidi="ar"/>
              </w:rPr>
              <w:t>%</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single"/>
              </w:rPr>
            </w:pPr>
            <w:r>
              <w:rPr>
                <w:rFonts w:hint="default" w:ascii="仿宋_GB2312" w:hAnsi="宋体" w:eastAsia="仿宋_GB2312" w:cs="仿宋_GB2312"/>
                <w:b/>
                <w:i w:val="0"/>
                <w:color w:val="000000"/>
                <w:kern w:val="0"/>
                <w:sz w:val="21"/>
                <w:szCs w:val="21"/>
                <w:u w:val="single"/>
                <w:lang w:val="en-US" w:eastAsia="zh-CN" w:bidi="ar"/>
              </w:rPr>
              <w:t xml:space="preserve">    </w:t>
            </w:r>
            <w:r>
              <w:rPr>
                <w:rStyle w:val="7"/>
                <w:rFonts w:hAnsi="宋体"/>
                <w:sz w:val="21"/>
                <w:szCs w:val="21"/>
                <w:u w:val="single"/>
                <w:lang w:val="en-US" w:eastAsia="zh-CN" w:bidi="ar"/>
              </w:rPr>
              <w:t>%</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隔热层</w:t>
            </w: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隔热层</w:t>
            </w: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0</wp:posOffset>
                  </wp:positionV>
                  <wp:extent cx="628650" cy="293370"/>
                  <wp:effectExtent l="0" t="0" r="0" b="11430"/>
                  <wp:wrapNone/>
                  <wp:docPr id="3" name="Line_1"/>
                  <wp:cNvGraphicFramePr/>
                  <a:graphic xmlns:a="http://schemas.openxmlformats.org/drawingml/2006/main">
                    <a:graphicData uri="http://schemas.openxmlformats.org/drawingml/2006/picture">
                      <pic:pic xmlns:pic="http://schemas.openxmlformats.org/drawingml/2006/picture">
                        <pic:nvPicPr>
                          <pic:cNvPr id="3" name="Line_1"/>
                          <pic:cNvPicPr/>
                        </pic:nvPicPr>
                        <pic:blipFill>
                          <a:blip r:embed="rId4"/>
                          <a:stretch>
                            <a:fillRect/>
                          </a:stretch>
                        </pic:blipFill>
                        <pic:spPr>
                          <a:xfrm>
                            <a:off x="0" y="0"/>
                            <a:ext cx="628650" cy="293370"/>
                          </a:xfrm>
                          <a:prstGeom prst="rect">
                            <a:avLst/>
                          </a:prstGeom>
                          <a:noFill/>
                          <a:ln>
                            <a:noFill/>
                          </a:ln>
                        </pic:spPr>
                      </pic:pic>
                    </a:graphicData>
                  </a:graphic>
                </wp:anchor>
              </w:drawing>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2795905</wp:posOffset>
                  </wp:positionH>
                  <wp:positionV relativeFrom="paragraph">
                    <wp:posOffset>15875</wp:posOffset>
                  </wp:positionV>
                  <wp:extent cx="628650" cy="293370"/>
                  <wp:effectExtent l="0" t="0" r="0" b="11430"/>
                  <wp:wrapNone/>
                  <wp:docPr id="4" name="Line_2"/>
                  <wp:cNvGraphicFramePr/>
                  <a:graphic xmlns:a="http://schemas.openxmlformats.org/drawingml/2006/main">
                    <a:graphicData uri="http://schemas.openxmlformats.org/drawingml/2006/picture">
                      <pic:pic xmlns:pic="http://schemas.openxmlformats.org/drawingml/2006/picture">
                        <pic:nvPicPr>
                          <pic:cNvPr id="4" name="Line_2"/>
                          <pic:cNvPicPr/>
                        </pic:nvPicPr>
                        <pic:blipFill>
                          <a:blip r:embed="rId4"/>
                          <a:stretch>
                            <a:fillRect/>
                          </a:stretch>
                        </pic:blipFill>
                        <pic:spPr>
                          <a:xfrm>
                            <a:off x="0" y="0"/>
                            <a:ext cx="628650" cy="293370"/>
                          </a:xfrm>
                          <a:prstGeom prst="rect">
                            <a:avLst/>
                          </a:prstGeom>
                          <a:noFill/>
                          <a:ln>
                            <a:noFill/>
                          </a:ln>
                        </pic:spPr>
                      </pic:pic>
                    </a:graphicData>
                  </a:graphic>
                </wp:anchor>
              </w:drawing>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2"/>
                <w:szCs w:val="12"/>
                <w:u w:val="none"/>
              </w:rPr>
            </w:pPr>
            <w:r>
              <w:rPr>
                <w:rFonts w:hint="eastAsia" w:ascii="黑体" w:hAnsi="宋体" w:eastAsia="黑体" w:cs="黑体"/>
                <w:b/>
                <w:i w:val="0"/>
                <w:color w:val="000000"/>
                <w:kern w:val="0"/>
                <w:sz w:val="12"/>
                <w:szCs w:val="12"/>
                <w:u w:val="none"/>
                <w:lang w:val="en-US" w:eastAsia="zh-CN" w:bidi="ar"/>
              </w:rPr>
              <w:t>(包括透明幕墙)</w:t>
            </w:r>
            <w:r>
              <w:rPr>
                <w:rStyle w:val="8"/>
                <w:lang w:val="en-US" w:eastAsia="zh-CN" w:bidi="ar"/>
              </w:rPr>
              <w:br w:type="textWrapping"/>
            </w:r>
            <w:r>
              <w:rPr>
                <w:rStyle w:val="6"/>
                <w:lang w:val="en-US" w:eastAsia="zh-CN" w:bidi="ar"/>
              </w:rPr>
              <w:t>外窗</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外窗框型材</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玻璃品种、厚度、规格</w:t>
            </w:r>
          </w:p>
        </w:tc>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外窗框型材</w:t>
            </w: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玻璃品种、厚度、规格</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2"/>
                <w:szCs w:val="1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2"/>
                <w:szCs w:val="1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遮阳措施</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遮阳措施</w:t>
            </w: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屋面</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非透明屋面主要隔热材料</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 正置式</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 倒置式</w:t>
            </w:r>
          </w:p>
        </w:tc>
        <w:tc>
          <w:tcPr>
            <w:tcW w:w="292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隔热层材料品种、厚度</w:t>
            </w:r>
          </w:p>
        </w:tc>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11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非透明屋面主要隔热材料</w:t>
            </w:r>
          </w:p>
        </w:tc>
        <w:tc>
          <w:tcPr>
            <w:tcW w:w="102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 正置式</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 倒置式</w:t>
            </w:r>
          </w:p>
        </w:tc>
        <w:tc>
          <w:tcPr>
            <w:tcW w:w="3825" w:type="dxa"/>
            <w:gridSpan w:val="7"/>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隔热层材料品种、厚度</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天窗</w:t>
            </w:r>
          </w:p>
        </w:tc>
        <w:tc>
          <w:tcPr>
            <w:tcW w:w="17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窗框型材</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玻璃品种、规格</w:t>
            </w: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天窗</w:t>
            </w:r>
          </w:p>
        </w:tc>
        <w:tc>
          <w:tcPr>
            <w:tcW w:w="210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窗框型材</w:t>
            </w:r>
          </w:p>
        </w:tc>
        <w:tc>
          <w:tcPr>
            <w:tcW w:w="2745"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玻璃品种、规格</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7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0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745"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70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可 再 生 能 源 利 用 情 况</w:t>
            </w:r>
          </w:p>
        </w:tc>
      </w:tr>
      <w:tr>
        <w:tblPrEx>
          <w:tblCellMar>
            <w:top w:w="0" w:type="dxa"/>
            <w:left w:w="0" w:type="dxa"/>
            <w:bottom w:w="0" w:type="dxa"/>
            <w:right w:w="0" w:type="dxa"/>
          </w:tblCellMar>
        </w:tblPrEx>
        <w:trPr>
          <w:trHeight w:val="439" w:hRule="atLeast"/>
        </w:trPr>
        <w:tc>
          <w:tcPr>
            <w:tcW w:w="690" w:type="dxa"/>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设计是否使用可再生能源</w:t>
            </w:r>
          </w:p>
        </w:tc>
        <w:tc>
          <w:tcPr>
            <w:tcW w:w="49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□是</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实际是否使用可再生能源</w:t>
            </w: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□是</w:t>
            </w: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项目类型</w:t>
            </w:r>
          </w:p>
        </w:tc>
        <w:tc>
          <w:tcPr>
            <w:tcW w:w="8652" w:type="dxa"/>
            <w:gridSpan w:val="1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□太阳能光热应用   □太阳能光电应用   □地源热泵  □其他：</w:t>
            </w:r>
            <w:r>
              <w:rPr>
                <w:rStyle w:val="9"/>
                <w:rFonts w:hAnsi="宋体"/>
                <w:lang w:val="en-US" w:eastAsia="zh-CN" w:bidi="ar"/>
              </w:rPr>
              <w:t xml:space="preserve">                  .</w:t>
            </w:r>
          </w:p>
        </w:tc>
      </w:tr>
      <w:tr>
        <w:tblPrEx>
          <w:tblCellMar>
            <w:top w:w="0" w:type="dxa"/>
            <w:left w:w="0" w:type="dxa"/>
            <w:bottom w:w="0" w:type="dxa"/>
            <w:right w:w="0" w:type="dxa"/>
          </w:tblCellMar>
        </w:tblPrEx>
        <w:trPr>
          <w:trHeight w:val="510"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应用面积</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项目规模</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kW</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□否</w:t>
            </w: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□否</w:t>
            </w: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总 投 资</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万元</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国家补贴</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万元</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开始时间</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20</w:t>
            </w:r>
            <w:r>
              <w:rPr>
                <w:rStyle w:val="9"/>
                <w:rFonts w:hAnsi="宋体"/>
                <w:lang w:val="en-US" w:eastAsia="zh-CN" w:bidi="ar"/>
              </w:rPr>
              <w:t xml:space="preserve">    </w:t>
            </w:r>
            <w:r>
              <w:rPr>
                <w:rStyle w:val="7"/>
                <w:rFonts w:hAnsi="宋体"/>
                <w:lang w:val="en-US" w:eastAsia="zh-CN" w:bidi="ar"/>
              </w:rPr>
              <w:t>年</w:t>
            </w:r>
            <w:r>
              <w:rPr>
                <w:rStyle w:val="9"/>
                <w:rFonts w:hAnsi="宋体"/>
                <w:lang w:val="en-US" w:eastAsia="zh-CN" w:bidi="ar"/>
              </w:rPr>
              <w:t xml:space="preserve">    </w:t>
            </w:r>
            <w:r>
              <w:rPr>
                <w:rStyle w:val="7"/>
                <w:rFonts w:hAnsi="宋体"/>
                <w:lang w:val="en-US" w:eastAsia="zh-CN" w:bidi="ar"/>
              </w:rPr>
              <w:t>月</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完成时间</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20</w:t>
            </w:r>
            <w:r>
              <w:rPr>
                <w:rStyle w:val="9"/>
                <w:rFonts w:hAnsi="宋体"/>
                <w:lang w:val="en-US" w:eastAsia="zh-CN" w:bidi="ar"/>
              </w:rPr>
              <w:t xml:space="preserve">    </w:t>
            </w:r>
            <w:r>
              <w:rPr>
                <w:rStyle w:val="7"/>
                <w:rFonts w:hAnsi="宋体"/>
                <w:lang w:val="en-US" w:eastAsia="zh-CN" w:bidi="ar"/>
              </w:rPr>
              <w:t>年</w:t>
            </w:r>
            <w:r>
              <w:rPr>
                <w:rStyle w:val="9"/>
                <w:rFonts w:hAnsi="宋体"/>
                <w:lang w:val="en-US" w:eastAsia="zh-CN" w:bidi="ar"/>
              </w:rPr>
              <w:t xml:space="preserve">    </w:t>
            </w:r>
            <w:r>
              <w:rPr>
                <w:rStyle w:val="7"/>
                <w:rFonts w:hAnsi="宋体"/>
                <w:lang w:val="en-US" w:eastAsia="zh-CN" w:bidi="ar"/>
              </w:rPr>
              <w:t>月</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节 能 量</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万吨</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减 排 量</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万吨</w:t>
            </w:r>
          </w:p>
        </w:tc>
      </w:tr>
      <w:tr>
        <w:tblPrEx>
          <w:tblCellMar>
            <w:top w:w="0" w:type="dxa"/>
            <w:left w:w="0" w:type="dxa"/>
            <w:bottom w:w="0" w:type="dxa"/>
            <w:right w:w="0" w:type="dxa"/>
          </w:tblCellMar>
        </w:tblPrEx>
        <w:trPr>
          <w:trHeight w:val="465"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集 中 空 调 系 统 情 况</w:t>
            </w:r>
          </w:p>
        </w:tc>
      </w:tr>
      <w:tr>
        <w:tblPrEx>
          <w:tblCellMar>
            <w:top w:w="0" w:type="dxa"/>
            <w:left w:w="0" w:type="dxa"/>
            <w:bottom w:w="0" w:type="dxa"/>
            <w:right w:w="0" w:type="dxa"/>
          </w:tblCellMar>
        </w:tblPrEx>
        <w:trPr>
          <w:trHeight w:val="462" w:hRule="atLeast"/>
        </w:trPr>
        <w:tc>
          <w:tcPr>
            <w:tcW w:w="4305" w:type="dxa"/>
            <w:gridSpan w:val="8"/>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设计是否采用集中空调系统</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c>
          <w:tcPr>
            <w:tcW w:w="4230"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实际是否采用集中空调系统</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r>
      <w:tr>
        <w:tblPrEx>
          <w:tblCellMar>
            <w:top w:w="0" w:type="dxa"/>
            <w:left w:w="0" w:type="dxa"/>
            <w:bottom w:w="0" w:type="dxa"/>
            <w:right w:w="0" w:type="dxa"/>
          </w:tblCellMar>
        </w:tblPrEx>
        <w:trPr>
          <w:trHeight w:val="462" w:hRule="atLeast"/>
        </w:trPr>
        <w:tc>
          <w:tcPr>
            <w:tcW w:w="4305" w:type="dxa"/>
            <w:gridSpan w:val="8"/>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设计是否采用空调废热回收利用装置</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c>
          <w:tcPr>
            <w:tcW w:w="4230"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实际是否采用空调废热回收利用装置</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设计单位</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意见</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both"/>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BFBFBF" w:themeColor="background1" w:themeShade="BF"/>
                <w:sz w:val="24"/>
                <w:szCs w:val="24"/>
                <w:u w:val="none"/>
                <w:lang w:eastAsia="zh-CN"/>
              </w:rPr>
              <w:t>例：项目</w:t>
            </w:r>
            <w:r>
              <w:rPr>
                <w:rFonts w:hint="default" w:ascii="仿宋_GB2312" w:hAnsi="宋体" w:eastAsia="仿宋_GB2312" w:cs="仿宋_GB2312"/>
                <w:i w:val="0"/>
                <w:color w:val="BFBFBF" w:themeColor="background1" w:themeShade="BF"/>
                <w:sz w:val="24"/>
                <w:szCs w:val="24"/>
                <w:u w:val="none"/>
              </w:rPr>
              <w:t>已完成</w:t>
            </w:r>
            <w:r>
              <w:rPr>
                <w:rFonts w:hint="eastAsia" w:ascii="仿宋_GB2312" w:hAnsi="宋体" w:eastAsia="仿宋_GB2312" w:cs="仿宋_GB2312"/>
                <w:i w:val="0"/>
                <w:color w:val="BFBFBF" w:themeColor="background1" w:themeShade="BF"/>
                <w:sz w:val="24"/>
                <w:szCs w:val="24"/>
                <w:u w:val="none"/>
                <w:lang w:eastAsia="zh-CN"/>
              </w:rPr>
              <w:t>施工图</w:t>
            </w:r>
            <w:r>
              <w:rPr>
                <w:rFonts w:hint="default" w:ascii="仿宋_GB2312" w:hAnsi="宋体" w:eastAsia="仿宋_GB2312" w:cs="仿宋_GB2312"/>
                <w:i w:val="0"/>
                <w:color w:val="BFBFBF" w:themeColor="background1" w:themeShade="BF"/>
                <w:sz w:val="24"/>
                <w:szCs w:val="24"/>
                <w:u w:val="none"/>
              </w:rPr>
              <w:t>设计</w:t>
            </w:r>
            <w:r>
              <w:rPr>
                <w:rFonts w:hint="eastAsia" w:ascii="仿宋_GB2312" w:hAnsi="宋体" w:eastAsia="仿宋_GB2312" w:cs="仿宋_GB2312"/>
                <w:i w:val="0"/>
                <w:color w:val="BFBFBF" w:themeColor="background1" w:themeShade="BF"/>
                <w:sz w:val="24"/>
                <w:szCs w:val="24"/>
                <w:u w:val="none"/>
                <w:lang w:eastAsia="zh-CN"/>
              </w:rPr>
              <w:t>文件</w:t>
            </w:r>
            <w:r>
              <w:rPr>
                <w:rFonts w:hint="default" w:ascii="仿宋_GB2312" w:hAnsi="宋体" w:eastAsia="仿宋_GB2312" w:cs="仿宋_GB2312"/>
                <w:i w:val="0"/>
                <w:color w:val="BFBFBF" w:themeColor="background1" w:themeShade="BF"/>
                <w:sz w:val="24"/>
                <w:szCs w:val="24"/>
                <w:u w:val="none"/>
              </w:rPr>
              <w:t>及合同约定的绿色建筑事项</w:t>
            </w:r>
            <w:r>
              <w:rPr>
                <w:rFonts w:hint="eastAsia" w:ascii="仿宋_GB2312" w:hAnsi="宋体" w:eastAsia="仿宋_GB2312" w:cs="仿宋_GB2312"/>
                <w:i w:val="0"/>
                <w:color w:val="BFBFBF" w:themeColor="background1" w:themeShade="BF"/>
                <w:sz w:val="24"/>
                <w:szCs w:val="24"/>
                <w:u w:val="none"/>
                <w:lang w:eastAsia="zh-CN"/>
              </w:rPr>
              <w:t>。</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42" w:hRule="atLeast"/>
        </w:trPr>
        <w:tc>
          <w:tcPr>
            <w:tcW w:w="1185" w:type="dxa"/>
            <w:gridSpan w:val="3"/>
            <w:vMerge w:val="restart"/>
            <w:tcBorders>
              <w:top w:val="single" w:color="000000" w:sz="8" w:space="0"/>
              <w:left w:val="single" w:color="000000" w:sz="12"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lang w:val="en-US" w:eastAsia="zh-CN"/>
              </w:rPr>
            </w:pPr>
            <w:r>
              <w:rPr>
                <w:rFonts w:hint="eastAsia" w:ascii="黑体" w:hAnsi="宋体" w:eastAsia="黑体" w:cs="黑体"/>
                <w:b/>
                <w:i w:val="0"/>
                <w:color w:val="000000"/>
                <w:sz w:val="22"/>
                <w:szCs w:val="22"/>
                <w:u w:val="none"/>
                <w:lang w:val="en-US" w:eastAsia="zh-CN"/>
              </w:rPr>
              <w:t>勘察单位</w:t>
            </w:r>
          </w:p>
          <w:p>
            <w:pPr>
              <w:jc w:val="center"/>
              <w:rPr>
                <w:rFonts w:hint="default" w:ascii="黑体" w:hAnsi="宋体" w:eastAsia="黑体" w:cs="黑体"/>
                <w:b/>
                <w:i w:val="0"/>
                <w:color w:val="000000"/>
                <w:sz w:val="22"/>
                <w:szCs w:val="22"/>
                <w:u w:val="none"/>
                <w:lang w:val="en-US" w:eastAsia="zh-CN"/>
              </w:rPr>
            </w:pPr>
            <w:r>
              <w:rPr>
                <w:rFonts w:hint="eastAsia" w:ascii="黑体" w:hAnsi="宋体" w:eastAsia="黑体" w:cs="黑体"/>
                <w:b/>
                <w:i w:val="0"/>
                <w:color w:val="000000"/>
                <w:sz w:val="22"/>
                <w:szCs w:val="22"/>
                <w:u w:val="none"/>
                <w:lang w:val="en-US" w:eastAsia="zh-CN"/>
              </w:rPr>
              <w:t>意见</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BFBFBF" w:themeColor="background1" w:themeShade="BF"/>
                <w:sz w:val="24"/>
                <w:szCs w:val="24"/>
                <w:u w:val="none"/>
                <w:lang w:eastAsia="zh-CN"/>
              </w:rPr>
              <w:t>例：项目</w:t>
            </w:r>
            <w:r>
              <w:rPr>
                <w:rFonts w:hint="default" w:ascii="仿宋_GB2312" w:hAnsi="宋体" w:eastAsia="仿宋_GB2312" w:cs="仿宋_GB2312"/>
                <w:i w:val="0"/>
                <w:color w:val="BFBFBF" w:themeColor="background1" w:themeShade="BF"/>
                <w:sz w:val="24"/>
                <w:szCs w:val="24"/>
                <w:u w:val="none"/>
              </w:rPr>
              <w:t>已完成</w:t>
            </w:r>
            <w:r>
              <w:rPr>
                <w:rFonts w:hint="eastAsia" w:ascii="仿宋_GB2312" w:hAnsi="宋体" w:eastAsia="仿宋_GB2312" w:cs="仿宋_GB2312"/>
                <w:i w:val="0"/>
                <w:color w:val="BFBFBF" w:themeColor="background1" w:themeShade="BF"/>
                <w:sz w:val="24"/>
                <w:szCs w:val="24"/>
                <w:u w:val="none"/>
                <w:lang w:eastAsia="zh-CN"/>
              </w:rPr>
              <w:t>施工图</w:t>
            </w:r>
            <w:r>
              <w:rPr>
                <w:rFonts w:hint="default" w:ascii="仿宋_GB2312" w:hAnsi="宋体" w:eastAsia="仿宋_GB2312" w:cs="仿宋_GB2312"/>
                <w:i w:val="0"/>
                <w:color w:val="BFBFBF" w:themeColor="background1" w:themeShade="BF"/>
                <w:sz w:val="24"/>
                <w:szCs w:val="24"/>
                <w:u w:val="none"/>
              </w:rPr>
              <w:t>设计</w:t>
            </w:r>
            <w:r>
              <w:rPr>
                <w:rFonts w:hint="eastAsia" w:ascii="仿宋_GB2312" w:hAnsi="宋体" w:eastAsia="仿宋_GB2312" w:cs="仿宋_GB2312"/>
                <w:i w:val="0"/>
                <w:color w:val="BFBFBF" w:themeColor="background1" w:themeShade="BF"/>
                <w:sz w:val="24"/>
                <w:szCs w:val="24"/>
                <w:u w:val="none"/>
                <w:lang w:eastAsia="zh-CN"/>
              </w:rPr>
              <w:t>文件</w:t>
            </w:r>
            <w:r>
              <w:rPr>
                <w:rFonts w:hint="default" w:ascii="仿宋_GB2312" w:hAnsi="宋体" w:eastAsia="仿宋_GB2312" w:cs="仿宋_GB2312"/>
                <w:i w:val="0"/>
                <w:color w:val="BFBFBF" w:themeColor="background1" w:themeShade="BF"/>
                <w:sz w:val="24"/>
                <w:szCs w:val="24"/>
                <w:u w:val="none"/>
              </w:rPr>
              <w:t>及合同约定的绿色建筑事项</w:t>
            </w:r>
            <w:r>
              <w:rPr>
                <w:rFonts w:hint="eastAsia" w:ascii="仿宋_GB2312" w:hAnsi="宋体" w:eastAsia="仿宋_GB2312" w:cs="仿宋_GB2312"/>
                <w:i w:val="0"/>
                <w:color w:val="BFBFBF" w:themeColor="background1" w:themeShade="BF"/>
                <w:sz w:val="24"/>
                <w:szCs w:val="24"/>
                <w:u w:val="none"/>
                <w:lang w:eastAsia="zh-CN"/>
              </w:rPr>
              <w:t>。</w:t>
            </w:r>
          </w:p>
        </w:tc>
      </w:tr>
      <w:tr>
        <w:tblPrEx>
          <w:tblCellMar>
            <w:top w:w="0" w:type="dxa"/>
            <w:left w:w="0" w:type="dxa"/>
            <w:bottom w:w="0" w:type="dxa"/>
            <w:right w:w="0" w:type="dxa"/>
          </w:tblCellMar>
        </w:tblPrEx>
        <w:trPr>
          <w:trHeight w:val="842"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right"/>
              <w:textAlignment w:val="bottom"/>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42"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right"/>
              <w:textAlignment w:val="bottom"/>
              <w:rPr>
                <w:rFonts w:hint="default" w:ascii="仿宋_GB2312" w:hAnsi="宋体" w:eastAsia="仿宋_GB2312" w:cs="仿宋_GB2312"/>
                <w:i w:val="0"/>
                <w:color w:val="000000"/>
                <w:kern w:val="0"/>
                <w:sz w:val="24"/>
                <w:szCs w:val="24"/>
                <w:u w:val="none"/>
                <w:lang w:val="en-US" w:eastAsia="zh-CN" w:bidi="ar"/>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 xml:space="preserve"> 施工单位 意见</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both"/>
              <w:rPr>
                <w:rFonts w:hint="eastAsia" w:ascii="黑体" w:hAnsi="宋体" w:eastAsia="黑体" w:cs="黑体"/>
                <w:b/>
                <w:i w:val="0"/>
                <w:color w:val="000000"/>
                <w:sz w:val="22"/>
                <w:szCs w:val="22"/>
                <w:u w:val="none"/>
              </w:rPr>
            </w:pPr>
            <w:r>
              <w:rPr>
                <w:rFonts w:hint="eastAsia" w:ascii="仿宋_GB2312" w:hAnsi="宋体" w:eastAsia="仿宋_GB2312" w:cs="仿宋_GB2312"/>
                <w:i w:val="0"/>
                <w:color w:val="BFBFBF" w:themeColor="background1" w:themeShade="BF"/>
                <w:sz w:val="24"/>
                <w:szCs w:val="24"/>
                <w:u w:val="none"/>
                <w:lang w:eastAsia="zh-CN"/>
              </w:rPr>
              <w:t>例：项目</w:t>
            </w:r>
            <w:r>
              <w:rPr>
                <w:rFonts w:hint="default" w:ascii="仿宋_GB2312" w:hAnsi="宋体" w:eastAsia="仿宋_GB2312" w:cs="仿宋_GB2312"/>
                <w:i w:val="0"/>
                <w:color w:val="BFBFBF" w:themeColor="background1" w:themeShade="BF"/>
                <w:sz w:val="24"/>
                <w:szCs w:val="24"/>
                <w:u w:val="none"/>
              </w:rPr>
              <w:t>已完成</w:t>
            </w:r>
            <w:r>
              <w:rPr>
                <w:rFonts w:hint="eastAsia" w:ascii="仿宋_GB2312" w:hAnsi="宋体" w:eastAsia="仿宋_GB2312" w:cs="仿宋_GB2312"/>
                <w:i w:val="0"/>
                <w:color w:val="BFBFBF" w:themeColor="background1" w:themeShade="BF"/>
                <w:sz w:val="24"/>
                <w:szCs w:val="24"/>
                <w:u w:val="none"/>
                <w:lang w:eastAsia="zh-CN"/>
              </w:rPr>
              <w:t>施工图</w:t>
            </w:r>
            <w:r>
              <w:rPr>
                <w:rFonts w:hint="default" w:ascii="仿宋_GB2312" w:hAnsi="宋体" w:eastAsia="仿宋_GB2312" w:cs="仿宋_GB2312"/>
                <w:i w:val="0"/>
                <w:color w:val="BFBFBF" w:themeColor="background1" w:themeShade="BF"/>
                <w:sz w:val="24"/>
                <w:szCs w:val="24"/>
                <w:u w:val="none"/>
              </w:rPr>
              <w:t>设计</w:t>
            </w:r>
            <w:r>
              <w:rPr>
                <w:rFonts w:hint="eastAsia" w:ascii="仿宋_GB2312" w:hAnsi="宋体" w:eastAsia="仿宋_GB2312" w:cs="仿宋_GB2312"/>
                <w:i w:val="0"/>
                <w:color w:val="BFBFBF" w:themeColor="background1" w:themeShade="BF"/>
                <w:sz w:val="24"/>
                <w:szCs w:val="24"/>
                <w:u w:val="none"/>
                <w:lang w:eastAsia="zh-CN"/>
              </w:rPr>
              <w:t>文件</w:t>
            </w:r>
            <w:r>
              <w:rPr>
                <w:rFonts w:hint="default" w:ascii="仿宋_GB2312" w:hAnsi="宋体" w:eastAsia="仿宋_GB2312" w:cs="仿宋_GB2312"/>
                <w:i w:val="0"/>
                <w:color w:val="BFBFBF" w:themeColor="background1" w:themeShade="BF"/>
                <w:sz w:val="24"/>
                <w:szCs w:val="24"/>
                <w:u w:val="none"/>
              </w:rPr>
              <w:t>及合同约定的绿色建筑事项，质量符合有关法律、法规和工程建设强制性标准</w:t>
            </w:r>
            <w:r>
              <w:rPr>
                <w:rFonts w:hint="eastAsia" w:ascii="仿宋_GB2312" w:hAnsi="宋体" w:eastAsia="仿宋_GB2312" w:cs="仿宋_GB2312"/>
                <w:i w:val="0"/>
                <w:color w:val="BFBFBF" w:themeColor="background1" w:themeShade="BF"/>
                <w:sz w:val="24"/>
                <w:szCs w:val="24"/>
                <w:u w:val="none"/>
                <w:lang w:eastAsia="zh-CN"/>
              </w:rPr>
              <w:t>。</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 xml:space="preserve"> 监理单位  意见</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both"/>
              <w:rPr>
                <w:rFonts w:hint="eastAsia" w:ascii="黑体" w:hAnsi="宋体" w:eastAsia="黑体" w:cs="黑体"/>
                <w:b/>
                <w:i w:val="0"/>
                <w:color w:val="000000"/>
                <w:sz w:val="22"/>
                <w:szCs w:val="22"/>
                <w:u w:val="none"/>
              </w:rPr>
            </w:pPr>
            <w:r>
              <w:rPr>
                <w:rFonts w:hint="eastAsia" w:ascii="仿宋_GB2312" w:hAnsi="宋体" w:eastAsia="仿宋_GB2312" w:cs="仿宋_GB2312"/>
                <w:i w:val="0"/>
                <w:color w:val="BFBFBF" w:themeColor="background1" w:themeShade="BF"/>
                <w:sz w:val="24"/>
                <w:szCs w:val="24"/>
                <w:u w:val="none"/>
                <w:lang w:eastAsia="zh-CN"/>
              </w:rPr>
              <w:t>例：项目</w:t>
            </w:r>
            <w:r>
              <w:rPr>
                <w:rFonts w:hint="default" w:ascii="仿宋_GB2312" w:hAnsi="宋体" w:eastAsia="仿宋_GB2312" w:cs="仿宋_GB2312"/>
                <w:i w:val="0"/>
                <w:color w:val="BFBFBF" w:themeColor="background1" w:themeShade="BF"/>
                <w:sz w:val="24"/>
                <w:szCs w:val="24"/>
                <w:u w:val="none"/>
              </w:rPr>
              <w:t>已完成</w:t>
            </w:r>
            <w:r>
              <w:rPr>
                <w:rFonts w:hint="eastAsia" w:ascii="仿宋_GB2312" w:hAnsi="宋体" w:eastAsia="仿宋_GB2312" w:cs="仿宋_GB2312"/>
                <w:i w:val="0"/>
                <w:color w:val="BFBFBF" w:themeColor="background1" w:themeShade="BF"/>
                <w:sz w:val="24"/>
                <w:szCs w:val="24"/>
                <w:u w:val="none"/>
                <w:lang w:eastAsia="zh-CN"/>
              </w:rPr>
              <w:t>施工图</w:t>
            </w:r>
            <w:r>
              <w:rPr>
                <w:rFonts w:hint="default" w:ascii="仿宋_GB2312" w:hAnsi="宋体" w:eastAsia="仿宋_GB2312" w:cs="仿宋_GB2312"/>
                <w:i w:val="0"/>
                <w:color w:val="BFBFBF" w:themeColor="background1" w:themeShade="BF"/>
                <w:sz w:val="24"/>
                <w:szCs w:val="24"/>
                <w:u w:val="none"/>
              </w:rPr>
              <w:t>设计</w:t>
            </w:r>
            <w:r>
              <w:rPr>
                <w:rFonts w:hint="eastAsia" w:ascii="仿宋_GB2312" w:hAnsi="宋体" w:eastAsia="仿宋_GB2312" w:cs="仿宋_GB2312"/>
                <w:i w:val="0"/>
                <w:color w:val="BFBFBF" w:themeColor="background1" w:themeShade="BF"/>
                <w:sz w:val="24"/>
                <w:szCs w:val="24"/>
                <w:u w:val="none"/>
                <w:lang w:eastAsia="zh-CN"/>
              </w:rPr>
              <w:t>文件</w:t>
            </w:r>
            <w:r>
              <w:rPr>
                <w:rFonts w:hint="default" w:ascii="仿宋_GB2312" w:hAnsi="宋体" w:eastAsia="仿宋_GB2312" w:cs="仿宋_GB2312"/>
                <w:i w:val="0"/>
                <w:color w:val="BFBFBF" w:themeColor="background1" w:themeShade="BF"/>
                <w:sz w:val="24"/>
                <w:szCs w:val="24"/>
                <w:u w:val="none"/>
              </w:rPr>
              <w:t>及合同约定的绿色建筑事项，质量符合有关法律、法规和工程建设强制性标准</w:t>
            </w:r>
            <w:r>
              <w:rPr>
                <w:rFonts w:hint="eastAsia" w:ascii="仿宋_GB2312" w:hAnsi="宋体" w:eastAsia="仿宋_GB2312" w:cs="仿宋_GB2312"/>
                <w:i w:val="0"/>
                <w:color w:val="BFBFBF" w:themeColor="background1" w:themeShade="BF"/>
                <w:sz w:val="24"/>
                <w:szCs w:val="24"/>
                <w:u w:val="none"/>
                <w:lang w:eastAsia="zh-CN"/>
              </w:rPr>
              <w:t>。</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lang w:val="en-US"/>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建设单位</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自审结论</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both"/>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BFBFBF" w:themeColor="background1" w:themeShade="BF"/>
                <w:sz w:val="24"/>
                <w:szCs w:val="24"/>
                <w:u w:val="none"/>
                <w:lang w:eastAsia="zh-CN"/>
              </w:rPr>
              <w:t>例：项目已按施工图</w:t>
            </w:r>
            <w:r>
              <w:rPr>
                <w:rFonts w:hint="default" w:ascii="仿宋_GB2312" w:hAnsi="宋体" w:eastAsia="仿宋_GB2312" w:cs="仿宋_GB2312"/>
                <w:i w:val="0"/>
                <w:color w:val="BFBFBF" w:themeColor="background1" w:themeShade="BF"/>
                <w:sz w:val="24"/>
                <w:szCs w:val="24"/>
                <w:u w:val="none"/>
              </w:rPr>
              <w:t>设计</w:t>
            </w:r>
            <w:r>
              <w:rPr>
                <w:rFonts w:hint="eastAsia" w:ascii="仿宋_GB2312" w:hAnsi="宋体" w:eastAsia="仿宋_GB2312" w:cs="仿宋_GB2312"/>
                <w:i w:val="0"/>
                <w:color w:val="BFBFBF" w:themeColor="background1" w:themeShade="BF"/>
                <w:sz w:val="24"/>
                <w:szCs w:val="24"/>
                <w:u w:val="none"/>
                <w:lang w:eastAsia="zh-CN"/>
              </w:rPr>
              <w:t>文件及合同约定的绿色建筑事项完成施工，自评质量符合施工图设计文件及绿色建筑相关法律法规要求。</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bl>
    <w:p>
      <w:pPr>
        <w:rPr>
          <w:rFonts w:hint="eastAsia"/>
          <w:b/>
          <w:bCs/>
          <w:sz w:val="22"/>
          <w:szCs w:val="28"/>
          <w:lang w:val="en-US" w:eastAsia="zh-CN"/>
        </w:rPr>
      </w:pPr>
    </w:p>
    <w:p>
      <w:pPr>
        <w:rPr>
          <w:rFonts w:hint="eastAsia"/>
          <w:b w:val="0"/>
          <w:bCs w:val="0"/>
          <w:sz w:val="20"/>
          <w:szCs w:val="20"/>
          <w:lang w:val="en-US" w:eastAsia="zh-CN"/>
        </w:rPr>
      </w:pPr>
      <w:r>
        <w:rPr>
          <w:rFonts w:hint="eastAsia"/>
          <w:b w:val="0"/>
          <w:bCs w:val="0"/>
          <w:sz w:val="20"/>
          <w:szCs w:val="20"/>
          <w:lang w:val="en-US" w:eastAsia="zh-CN"/>
        </w:rPr>
        <w:t>注：如项目建设各阶段存在咨询单位承担该阶段绿色建筑主要工作任务，则该咨询单位应在对应阶段进行自评估并签署自评估意见。</w:t>
      </w: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jc w:val="center"/>
        <w:rPr>
          <w:rFonts w:hint="default" w:eastAsiaTheme="minorEastAsia"/>
          <w:b/>
          <w:bCs/>
          <w:sz w:val="40"/>
          <w:szCs w:val="48"/>
          <w:lang w:val="en-US" w:eastAsia="zh-CN"/>
        </w:rPr>
      </w:pPr>
      <w:r>
        <w:rPr>
          <w:rFonts w:hint="eastAsia" w:eastAsiaTheme="minorEastAsia"/>
          <w:b/>
          <w:bCs/>
          <w:sz w:val="40"/>
          <w:szCs w:val="48"/>
          <w:lang w:val="en-US" w:eastAsia="zh-CN"/>
        </w:rPr>
        <w:t>惠州市_____县（区）</w:t>
      </w:r>
      <w:r>
        <w:rPr>
          <w:rFonts w:hint="eastAsia"/>
          <w:b/>
          <w:bCs/>
          <w:sz w:val="40"/>
          <w:szCs w:val="48"/>
          <w:lang w:val="en-US" w:eastAsia="zh-CN"/>
        </w:rPr>
        <w:t>绿色建筑</w:t>
      </w:r>
      <w:r>
        <w:rPr>
          <w:rFonts w:hint="eastAsia" w:eastAsiaTheme="minorEastAsia"/>
          <w:b/>
          <w:bCs/>
          <w:sz w:val="40"/>
          <w:szCs w:val="48"/>
          <w:lang w:val="en-US" w:eastAsia="zh-CN"/>
        </w:rPr>
        <w:t>专项验收</w:t>
      </w:r>
      <w:r>
        <w:rPr>
          <w:rFonts w:hint="eastAsia"/>
          <w:b/>
          <w:bCs/>
          <w:sz w:val="40"/>
          <w:szCs w:val="48"/>
          <w:lang w:val="en-US" w:eastAsia="zh-CN"/>
        </w:rPr>
        <w:t>申请表</w:t>
      </w:r>
    </w:p>
    <w:tbl>
      <w:tblPr>
        <w:tblStyle w:val="2"/>
        <w:tblW w:w="13080" w:type="dxa"/>
        <w:tblInd w:w="0" w:type="dxa"/>
        <w:shd w:val="clear" w:color="auto" w:fill="auto"/>
        <w:tblLayout w:type="fixed"/>
        <w:tblCellMar>
          <w:top w:w="0" w:type="dxa"/>
          <w:left w:w="0" w:type="dxa"/>
          <w:bottom w:w="0" w:type="dxa"/>
          <w:right w:w="0" w:type="dxa"/>
        </w:tblCellMar>
      </w:tblPr>
      <w:tblGrid>
        <w:gridCol w:w="1152"/>
        <w:gridCol w:w="3208"/>
        <w:gridCol w:w="4360"/>
        <w:gridCol w:w="70"/>
        <w:gridCol w:w="810"/>
        <w:gridCol w:w="1170"/>
        <w:gridCol w:w="885"/>
        <w:gridCol w:w="1425"/>
      </w:tblGrid>
      <w:tr>
        <w:tblPrEx>
          <w:shd w:val="clear" w:color="auto" w:fill="auto"/>
          <w:tblCellMar>
            <w:top w:w="0" w:type="dxa"/>
            <w:left w:w="0" w:type="dxa"/>
            <w:bottom w:w="0" w:type="dxa"/>
            <w:right w:w="0" w:type="dxa"/>
          </w:tblCellMar>
        </w:tblPrEx>
        <w:trPr>
          <w:trHeight w:val="702" w:hRule="atLeast"/>
        </w:trPr>
        <w:tc>
          <w:tcPr>
            <w:tcW w:w="13080" w:type="dxa"/>
            <w:gridSpan w:val="8"/>
            <w:tcBorders>
              <w:top w:val="single" w:color="000000" w:sz="12"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项 目 总 体 情 况</w:t>
            </w: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项目名称</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工程项目开工时间</w:t>
            </w:r>
          </w:p>
        </w:tc>
        <w:tc>
          <w:tcPr>
            <w:tcW w:w="231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项目地址</w:t>
            </w:r>
          </w:p>
        </w:tc>
        <w:tc>
          <w:tcPr>
            <w:tcW w:w="7638"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4"/>
                <w:szCs w:val="14"/>
                <w:u w:val="none"/>
              </w:rPr>
            </w:pPr>
            <w:r>
              <w:rPr>
                <w:rFonts w:hint="default" w:ascii="仿宋_GB2312" w:hAnsi="宋体" w:eastAsia="仿宋_GB2312" w:cs="仿宋_GB2312"/>
                <w:b/>
                <w:i w:val="0"/>
                <w:color w:val="000000"/>
                <w:kern w:val="0"/>
                <w:sz w:val="18"/>
                <w:szCs w:val="18"/>
                <w:u w:val="none"/>
                <w:lang w:val="en-US" w:eastAsia="zh-CN" w:bidi="ar"/>
              </w:rPr>
              <w:t>惠州市</w:t>
            </w:r>
            <w:r>
              <w:rPr>
                <w:rStyle w:val="4"/>
                <w:rFonts w:hAnsi="宋体"/>
                <w:sz w:val="18"/>
                <w:szCs w:val="18"/>
                <w:lang w:val="en-US" w:eastAsia="zh-CN" w:bidi="ar"/>
              </w:rPr>
              <w:t xml:space="preserve">     </w:t>
            </w:r>
            <w:r>
              <w:rPr>
                <w:rStyle w:val="5"/>
                <w:rFonts w:hAnsi="宋体"/>
                <w:sz w:val="18"/>
                <w:szCs w:val="18"/>
                <w:lang w:val="en-US" w:eastAsia="zh-CN" w:bidi="ar"/>
              </w:rPr>
              <w:t>县（区）</w:t>
            </w:r>
            <w:r>
              <w:rPr>
                <w:rStyle w:val="4"/>
                <w:rFonts w:hAnsi="宋体"/>
                <w:sz w:val="18"/>
                <w:szCs w:val="18"/>
                <w:lang w:val="en-US" w:eastAsia="zh-CN" w:bidi="ar"/>
              </w:rPr>
              <w:t xml:space="preserve">      </w:t>
            </w:r>
            <w:r>
              <w:rPr>
                <w:rStyle w:val="5"/>
                <w:rFonts w:hAnsi="宋体"/>
                <w:sz w:val="18"/>
                <w:szCs w:val="18"/>
                <w:lang w:val="en-US" w:eastAsia="zh-CN" w:bidi="ar"/>
              </w:rPr>
              <w:t>街道（镇）</w:t>
            </w:r>
            <w:r>
              <w:rPr>
                <w:rStyle w:val="4"/>
                <w:rFonts w:hAnsi="宋体"/>
                <w:sz w:val="18"/>
                <w:szCs w:val="18"/>
                <w:lang w:val="en-US" w:eastAsia="zh-CN" w:bidi="ar"/>
              </w:rPr>
              <w:t xml:space="preserve">      </w:t>
            </w:r>
            <w:r>
              <w:rPr>
                <w:rStyle w:val="5"/>
                <w:rFonts w:hAnsi="宋体"/>
                <w:sz w:val="18"/>
                <w:szCs w:val="18"/>
                <w:lang w:val="en-US" w:eastAsia="zh-CN" w:bidi="ar"/>
              </w:rPr>
              <w:t>居（村）</w:t>
            </w:r>
            <w:r>
              <w:rPr>
                <w:rStyle w:val="4"/>
                <w:rFonts w:hAnsi="宋体"/>
                <w:sz w:val="18"/>
                <w:szCs w:val="18"/>
                <w:lang w:val="en-US" w:eastAsia="zh-CN" w:bidi="ar"/>
              </w:rPr>
              <w:t xml:space="preserve">                                   .</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工程项目主体      验收时间</w:t>
            </w:r>
          </w:p>
        </w:tc>
        <w:tc>
          <w:tcPr>
            <w:tcW w:w="231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7638"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4"/>
                <w:szCs w:val="14"/>
                <w:u w:val="none"/>
              </w:rPr>
            </w:pP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default" w:ascii="仿宋_GB2312" w:hAnsi="宋体" w:eastAsia="仿宋_GB2312" w:cs="仿宋_GB2312"/>
                <w:b/>
                <w:i w:val="0"/>
                <w:color w:val="000000"/>
                <w:kern w:val="0"/>
                <w:sz w:val="20"/>
                <w:szCs w:val="20"/>
                <w:u w:val="none"/>
                <w:lang w:val="en-US" w:eastAsia="zh-CN" w:bidi="ar"/>
              </w:rPr>
              <w:t>工程项目</w:t>
            </w:r>
            <w:r>
              <w:rPr>
                <w:rFonts w:hint="eastAsia" w:ascii="仿宋_GB2312" w:hAnsi="宋体" w:eastAsia="仿宋_GB2312" w:cs="仿宋_GB2312"/>
                <w:b/>
                <w:i w:val="0"/>
                <w:color w:val="000000"/>
                <w:kern w:val="0"/>
                <w:sz w:val="20"/>
                <w:szCs w:val="20"/>
                <w:u w:val="none"/>
                <w:lang w:val="en-US" w:eastAsia="zh-CN" w:bidi="ar"/>
              </w:rPr>
              <w:t>绿色建筑</w:t>
            </w:r>
            <w:r>
              <w:rPr>
                <w:rFonts w:hint="default" w:ascii="仿宋_GB2312" w:hAnsi="宋体" w:eastAsia="仿宋_GB2312" w:cs="仿宋_GB2312"/>
                <w:b/>
                <w:i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 xml:space="preserve"> </w:t>
            </w:r>
            <w:r>
              <w:rPr>
                <w:rFonts w:hint="eastAsia" w:ascii="仿宋_GB2312" w:hAnsi="宋体" w:eastAsia="仿宋_GB2312" w:cs="仿宋_GB2312"/>
                <w:b/>
                <w:i w:val="0"/>
                <w:color w:val="000000"/>
                <w:kern w:val="0"/>
                <w:sz w:val="20"/>
                <w:szCs w:val="20"/>
                <w:u w:val="none"/>
                <w:lang w:val="en-US" w:eastAsia="zh-CN" w:bidi="ar"/>
              </w:rPr>
              <w:t>申请</w:t>
            </w:r>
            <w:r>
              <w:rPr>
                <w:rFonts w:hint="default" w:ascii="仿宋_GB2312" w:hAnsi="宋体" w:eastAsia="仿宋_GB2312" w:cs="仿宋_GB2312"/>
                <w:b/>
                <w:i w:val="0"/>
                <w:color w:val="000000"/>
                <w:kern w:val="0"/>
                <w:sz w:val="20"/>
                <w:szCs w:val="20"/>
                <w:u w:val="none"/>
                <w:lang w:val="en-US" w:eastAsia="zh-CN" w:bidi="ar"/>
              </w:rPr>
              <w:t>验收时间</w:t>
            </w:r>
          </w:p>
        </w:tc>
        <w:tc>
          <w:tcPr>
            <w:tcW w:w="231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建设单位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施工图审查机构</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监理单位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勘察单位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62" w:hRule="atLeast"/>
        </w:trPr>
        <w:tc>
          <w:tcPr>
            <w:tcW w:w="1152"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咨询单位</w:t>
            </w:r>
          </w:p>
        </w:tc>
        <w:tc>
          <w:tcPr>
            <w:tcW w:w="7638"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3365" w:hRule="atLeast"/>
        </w:trPr>
        <w:tc>
          <w:tcPr>
            <w:tcW w:w="13080" w:type="dxa"/>
            <w:gridSpan w:val="8"/>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绿色建筑建设目标：</w:t>
            </w:r>
            <w:r>
              <w:rPr>
                <w:rFonts w:hint="eastAsia" w:ascii="仿宋" w:hAnsi="仿宋" w:eastAsia="仿宋" w:cs="仿宋"/>
                <w:sz w:val="24"/>
                <w:lang w:val="en-US" w:eastAsia="zh-CN"/>
              </w:rPr>
              <w:t xml:space="preserve">国标   </w:t>
            </w:r>
            <w:r>
              <w:rPr>
                <w:rFonts w:hint="eastAsia" w:ascii="仿宋" w:hAnsi="仿宋" w:eastAsia="仿宋" w:cs="仿宋"/>
                <w:sz w:val="24"/>
              </w:rPr>
              <w:t>□基本级  □一星  □二星  □三星</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省标   </w:t>
            </w:r>
            <w:r>
              <w:rPr>
                <w:rFonts w:hint="eastAsia" w:ascii="仿宋" w:hAnsi="仿宋" w:eastAsia="仿宋" w:cs="仿宋"/>
                <w:sz w:val="24"/>
              </w:rPr>
              <w:t>□基本级  □一星  □二星  □三星</w:t>
            </w:r>
          </w:p>
          <w:p>
            <w:pPr>
              <w:spacing w:line="360" w:lineRule="auto"/>
              <w:rPr>
                <w:rFonts w:hint="eastAsia" w:ascii="仿宋" w:hAnsi="仿宋" w:eastAsia="仿宋" w:cs="仿宋"/>
                <w:sz w:val="24"/>
              </w:rPr>
            </w:pPr>
            <w:r>
              <w:rPr>
                <w:rFonts w:hint="eastAsia" w:ascii="仿宋" w:hAnsi="仿宋" w:eastAsia="仿宋" w:cs="仿宋"/>
                <w:sz w:val="24"/>
              </w:rPr>
              <w:t>建筑</w:t>
            </w:r>
            <w:r>
              <w:rPr>
                <w:rFonts w:hint="eastAsia" w:ascii="仿宋" w:hAnsi="仿宋" w:eastAsia="仿宋" w:cs="仿宋"/>
                <w:sz w:val="24"/>
                <w:lang w:val="en-US" w:eastAsia="zh-CN"/>
              </w:rPr>
              <w:t>类型</w:t>
            </w:r>
            <w:r>
              <w:rPr>
                <w:rFonts w:hint="eastAsia" w:ascii="仿宋" w:hAnsi="仿宋" w:eastAsia="仿宋" w:cs="仿宋"/>
                <w:sz w:val="24"/>
              </w:rPr>
              <w:t>：□居住建筑  □公共建筑  □综合功能建筑</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color w:val="000000"/>
                <w:sz w:val="24"/>
                <w:szCs w:val="24"/>
                <w:shd w:val="clear" w:color="auto" w:fill="FFFFFF"/>
              </w:rPr>
              <w:t>结构类型</w:t>
            </w:r>
            <w:r>
              <w:rPr>
                <w:rFonts w:hint="eastAsia" w:ascii="仿宋" w:hAnsi="仿宋" w:eastAsia="仿宋" w:cs="仿宋"/>
                <w:color w:val="000000"/>
                <w:sz w:val="24"/>
                <w:szCs w:val="24"/>
                <w:shd w:val="clear" w:color="auto" w:fill="FFFFFF"/>
                <w:lang w:eastAsia="zh-CN"/>
              </w:rPr>
              <w:t xml:space="preserve">：□框架    □剪力墙   □框架-剪力墙 </w:t>
            </w:r>
            <w:r>
              <w:rPr>
                <w:rFonts w:hint="eastAsia" w:ascii="仿宋" w:hAnsi="仿宋" w:eastAsia="仿宋" w:cs="仿宋"/>
                <w:color w:val="000000"/>
                <w:sz w:val="24"/>
                <w:szCs w:val="24"/>
                <w:shd w:val="clear" w:color="auto" w:fill="FFFFFF"/>
                <w:lang w:val="en-US" w:eastAsia="zh-CN"/>
              </w:rPr>
              <w:t xml:space="preserve">  □钢结构   □砖混   □其他：</w:t>
            </w:r>
            <w:r>
              <w:rPr>
                <w:rFonts w:hint="eastAsia" w:ascii="仿宋" w:hAnsi="仿宋" w:eastAsia="仿宋" w:cs="仿宋"/>
                <w:color w:val="000000"/>
                <w:sz w:val="24"/>
                <w:szCs w:val="24"/>
                <w:u w:val="single"/>
                <w:shd w:val="clear" w:color="auto" w:fill="FFFFFF"/>
                <w:lang w:val="en-US" w:eastAsia="zh-CN"/>
              </w:rPr>
              <w:t xml:space="preserve">         </w:t>
            </w:r>
          </w:p>
          <w:p>
            <w:pPr>
              <w:spacing w:line="360" w:lineRule="auto"/>
              <w:rPr>
                <w:rFonts w:ascii="仿宋" w:hAnsi="仿宋" w:eastAsia="仿宋" w:cs="仿宋"/>
                <w:sz w:val="24"/>
              </w:rPr>
            </w:pPr>
            <w:r>
              <w:rPr>
                <w:rFonts w:hint="eastAsia" w:ascii="仿宋" w:hAnsi="仿宋" w:eastAsia="仿宋" w:cs="仿宋"/>
                <w:sz w:val="24"/>
              </w:rPr>
              <w:t xml:space="preserve">交楼标准：□毛坯 </w:t>
            </w:r>
            <w:r>
              <w:rPr>
                <w:rFonts w:hint="eastAsia" w:ascii="仿宋" w:hAnsi="仿宋" w:eastAsia="仿宋" w:cs="仿宋"/>
                <w:sz w:val="24"/>
                <w:lang w:val="en-US" w:eastAsia="zh-CN"/>
              </w:rPr>
              <w:t xml:space="preserve">  </w:t>
            </w:r>
            <w:r>
              <w:rPr>
                <w:rFonts w:hint="eastAsia" w:ascii="仿宋" w:hAnsi="仿宋" w:eastAsia="仿宋" w:cs="仿宋"/>
                <w:sz w:val="24"/>
              </w:rPr>
              <w:t xml:space="preserve"> □精装修</w:t>
            </w:r>
          </w:p>
          <w:p>
            <w:pPr>
              <w:spacing w:line="360" w:lineRule="auto"/>
              <w:rPr>
                <w:rFonts w:ascii="仿宋" w:hAnsi="仿宋" w:eastAsia="仿宋" w:cs="仿宋"/>
                <w:sz w:val="24"/>
              </w:rPr>
            </w:pPr>
            <w:r>
              <w:rPr>
                <w:rFonts w:hint="eastAsia" w:ascii="仿宋" w:hAnsi="仿宋" w:eastAsia="仿宋" w:cs="仿宋"/>
                <w:sz w:val="24"/>
              </w:rPr>
              <w:t>用地面积：</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hint="default" w:ascii="仿宋" w:hAnsi="仿宋" w:eastAsia="仿宋" w:cs="仿宋"/>
                <w:sz w:val="24"/>
                <w:lang w:val="en-US" w:eastAsia="zh-CN"/>
              </w:rPr>
            </w:pPr>
            <w:r>
              <w:rPr>
                <w:rFonts w:hint="eastAsia" w:ascii="仿宋" w:hAnsi="仿宋" w:eastAsia="仿宋" w:cs="仿宋"/>
                <w:sz w:val="24"/>
              </w:rPr>
              <w:t>建筑面积：地上</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rPr>
              <w:t xml:space="preserve"> 地下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建筑高度：</w:t>
            </w:r>
            <w:r>
              <w:rPr>
                <w:rFonts w:hint="eastAsia" w:ascii="仿宋" w:hAnsi="仿宋" w:eastAsia="仿宋" w:cs="仿宋"/>
                <w:sz w:val="24"/>
                <w:u w:val="single"/>
              </w:rPr>
              <w:t xml:space="preserve">     </w:t>
            </w:r>
            <w:r>
              <w:rPr>
                <w:rFonts w:hint="eastAsia" w:ascii="仿宋" w:hAnsi="仿宋" w:eastAsia="仿宋" w:cs="仿宋"/>
                <w:sz w:val="24"/>
              </w:rPr>
              <w:t xml:space="preserve">m </w:t>
            </w:r>
            <w:r>
              <w:rPr>
                <w:rFonts w:hint="eastAsia" w:ascii="仿宋" w:hAnsi="仿宋" w:eastAsia="仿宋" w:cs="仿宋"/>
                <w:sz w:val="24"/>
                <w:lang w:eastAsia="zh-CN"/>
              </w:rPr>
              <w:t>；</w:t>
            </w:r>
            <w:r>
              <w:rPr>
                <w:rFonts w:hint="eastAsia" w:ascii="仿宋" w:hAnsi="仿宋" w:eastAsia="仿宋" w:cs="仿宋"/>
                <w:sz w:val="24"/>
              </w:rPr>
              <w:t xml:space="preserve"> 层数</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CellMar>
            <w:top w:w="0" w:type="dxa"/>
            <w:left w:w="0" w:type="dxa"/>
            <w:bottom w:w="0" w:type="dxa"/>
            <w:right w:w="0" w:type="dxa"/>
          </w:tblCellMar>
        </w:tblPrEx>
        <w:trPr>
          <w:trHeight w:val="1687" w:hRule="atLeast"/>
        </w:trPr>
        <w:tc>
          <w:tcPr>
            <w:tcW w:w="4360"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top"/>
          </w:tcPr>
          <w:p>
            <w:pPr>
              <w:widowControl/>
              <w:textAlignment w:val="bottom"/>
            </w:pPr>
            <w:r>
              <w:rPr>
                <w:rFonts w:hint="eastAsia"/>
                <w:kern w:val="0"/>
                <w:sz w:val="24"/>
              </w:rPr>
              <w:t>勘查单位意见</w:t>
            </w:r>
            <w:r>
              <w:rPr>
                <w:rFonts w:hint="eastAsia"/>
                <w:kern w:val="0"/>
                <w:sz w:val="24"/>
                <w:lang w:eastAsia="zh-CN"/>
              </w:rPr>
              <w:t>：</w:t>
            </w:r>
          </w:p>
          <w:p>
            <w:pPr>
              <w:widowControl/>
              <w:textAlignment w:val="bottom"/>
              <w:rPr>
                <w:rFonts w:hint="eastAsia" w:ascii="仿宋_GB2312" w:hAnsi="仿宋_GB2312" w:eastAsia="仿宋_GB2312" w:cs="仿宋_GB2312"/>
                <w:color w:val="BFBFBF" w:themeColor="background1" w:themeShade="BF"/>
                <w:lang w:eastAsia="zh-CN"/>
              </w:rPr>
            </w:pPr>
            <w:r>
              <w:rPr>
                <w:rFonts w:hint="eastAsia" w:ascii="仿宋_GB2312" w:hAnsi="仿宋_GB2312" w:eastAsia="仿宋_GB2312" w:cs="仿宋_GB2312"/>
                <w:color w:val="BFBFBF" w:themeColor="background1" w:themeShade="BF"/>
                <w:lang w:eastAsia="zh-CN"/>
              </w:rPr>
              <w:t>例：同意申请验收。</w:t>
            </w:r>
          </w:p>
          <w:p>
            <w:pPr>
              <w:widowControl/>
              <w:textAlignment w:val="bottom"/>
            </w:pPr>
          </w:p>
          <w:p>
            <w:pPr>
              <w:widowControl/>
              <w:textAlignment w:val="bottom"/>
              <w:rPr>
                <w:rFonts w:hint="eastAsia"/>
              </w:rPr>
            </w:pPr>
            <w:r>
              <w:rPr>
                <w:kern w:val="0"/>
                <w:sz w:val="24"/>
              </w:rPr>
              <w:t>签名：</w:t>
            </w:r>
          </w:p>
          <w:p>
            <w:pPr>
              <w:widowControl/>
              <w:ind w:firstLine="2296" w:firstLineChars="957"/>
              <w:textAlignment w:val="bottom"/>
            </w:pPr>
            <w:r>
              <w:rPr>
                <w:kern w:val="0"/>
                <w:sz w:val="24"/>
              </w:rPr>
              <w:t>（章）</w:t>
            </w:r>
          </w:p>
          <w:p>
            <w:pPr>
              <w:widowControl/>
              <w:ind w:firstLine="2020" w:firstLineChars="842"/>
              <w:textAlignment w:val="bottom"/>
              <w:rPr>
                <w:rFonts w:hint="eastAsia" w:asciiTheme="minorHAnsi" w:hAnsiTheme="minorHAnsi" w:eastAsiaTheme="minorEastAsia" w:cstheme="minorBidi"/>
                <w:kern w:val="0"/>
                <w:sz w:val="24"/>
                <w:szCs w:val="24"/>
                <w:lang w:val="en-US" w:eastAsia="zh-CN" w:bidi="ar-SA"/>
              </w:rPr>
            </w:pPr>
            <w:r>
              <w:rPr>
                <w:kern w:val="0"/>
                <w:sz w:val="24"/>
              </w:rPr>
              <w:t>年  月  日</w:t>
            </w:r>
          </w:p>
        </w:tc>
        <w:tc>
          <w:tcPr>
            <w:tcW w:w="4360" w:type="dxa"/>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top"/>
          </w:tcPr>
          <w:p>
            <w:pPr>
              <w:widowControl/>
              <w:textAlignment w:val="bottom"/>
            </w:pPr>
            <w:r>
              <w:rPr>
                <w:kern w:val="0"/>
                <w:sz w:val="24"/>
              </w:rPr>
              <w:t>设计单位意见</w:t>
            </w:r>
            <w:r>
              <w:rPr>
                <w:rFonts w:hint="eastAsia"/>
                <w:kern w:val="0"/>
                <w:sz w:val="24"/>
                <w:lang w:eastAsia="zh-CN"/>
              </w:rPr>
              <w:t>：</w:t>
            </w:r>
          </w:p>
          <w:p>
            <w:pPr>
              <w:widowControl/>
              <w:ind w:firstLine="1800"/>
              <w:textAlignment w:val="bottom"/>
            </w:pPr>
          </w:p>
          <w:p>
            <w:pPr>
              <w:widowControl/>
              <w:textAlignment w:val="bottom"/>
            </w:pPr>
          </w:p>
          <w:p>
            <w:pPr>
              <w:widowControl/>
              <w:textAlignment w:val="bottom"/>
              <w:rPr>
                <w:rFonts w:hint="eastAsia"/>
              </w:rPr>
            </w:pPr>
            <w:r>
              <w:rPr>
                <w:kern w:val="0"/>
                <w:sz w:val="24"/>
              </w:rPr>
              <w:t>签名：</w:t>
            </w:r>
          </w:p>
          <w:p>
            <w:pPr>
              <w:widowControl/>
              <w:ind w:firstLine="1920" w:firstLineChars="800"/>
              <w:textAlignment w:val="bottom"/>
            </w:pPr>
            <w:r>
              <w:rPr>
                <w:kern w:val="0"/>
                <w:sz w:val="24"/>
              </w:rPr>
              <w:t>（章）</w:t>
            </w:r>
          </w:p>
          <w:p>
            <w:pPr>
              <w:widowControl/>
              <w:ind w:firstLine="1920" w:firstLineChars="800"/>
              <w:textAlignment w:val="bottom"/>
              <w:rPr>
                <w:rFonts w:hint="eastAsia" w:asciiTheme="minorHAnsi" w:hAnsiTheme="minorHAnsi" w:eastAsiaTheme="minorEastAsia" w:cstheme="minorBidi"/>
                <w:kern w:val="0"/>
                <w:sz w:val="24"/>
                <w:szCs w:val="24"/>
                <w:lang w:val="en-US" w:eastAsia="zh-CN" w:bidi="ar-SA"/>
              </w:rPr>
            </w:pPr>
            <w:r>
              <w:rPr>
                <w:kern w:val="0"/>
                <w:sz w:val="24"/>
              </w:rPr>
              <w:t>年  月  日</w:t>
            </w:r>
          </w:p>
        </w:tc>
        <w:tc>
          <w:tcPr>
            <w:tcW w:w="4360"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top"/>
          </w:tcPr>
          <w:p>
            <w:pPr>
              <w:widowControl/>
              <w:textAlignment w:val="bottom"/>
            </w:pPr>
            <w:r>
              <w:rPr>
                <w:kern w:val="0"/>
                <w:sz w:val="24"/>
              </w:rPr>
              <w:t>施工单位意见</w:t>
            </w:r>
            <w:r>
              <w:rPr>
                <w:rFonts w:hint="eastAsia"/>
                <w:kern w:val="0"/>
                <w:sz w:val="24"/>
                <w:lang w:eastAsia="zh-CN"/>
              </w:rPr>
              <w:t>：</w:t>
            </w:r>
          </w:p>
          <w:p>
            <w:pPr>
              <w:widowControl/>
              <w:ind w:firstLine="1800"/>
              <w:textAlignment w:val="bottom"/>
            </w:pPr>
          </w:p>
          <w:p>
            <w:pPr>
              <w:widowControl/>
              <w:textAlignment w:val="bottom"/>
            </w:pPr>
          </w:p>
          <w:p>
            <w:pPr>
              <w:widowControl/>
              <w:textAlignment w:val="bottom"/>
              <w:rPr>
                <w:rFonts w:hint="eastAsia"/>
              </w:rPr>
            </w:pPr>
            <w:r>
              <w:rPr>
                <w:kern w:val="0"/>
                <w:sz w:val="24"/>
              </w:rPr>
              <w:t>签名：</w:t>
            </w:r>
          </w:p>
          <w:p>
            <w:pPr>
              <w:widowControl/>
              <w:ind w:firstLine="1800"/>
              <w:textAlignment w:val="bottom"/>
            </w:pPr>
            <w:r>
              <w:rPr>
                <w:kern w:val="0"/>
                <w:sz w:val="24"/>
              </w:rPr>
              <w:t>（章）</w:t>
            </w:r>
          </w:p>
          <w:p>
            <w:pPr>
              <w:widowControl/>
              <w:ind w:firstLine="1680" w:firstLineChars="700"/>
              <w:textAlignment w:val="bottom"/>
              <w:rPr>
                <w:rFonts w:hint="eastAsia" w:asciiTheme="minorHAnsi" w:hAnsiTheme="minorHAnsi" w:eastAsiaTheme="minorEastAsia" w:cstheme="minorBidi"/>
                <w:kern w:val="0"/>
                <w:sz w:val="24"/>
                <w:szCs w:val="24"/>
                <w:lang w:val="en-US" w:eastAsia="zh-CN" w:bidi="ar-SA"/>
              </w:rPr>
            </w:pPr>
            <w:r>
              <w:rPr>
                <w:kern w:val="0"/>
                <w:sz w:val="24"/>
              </w:rPr>
              <w:t>年  月  日</w:t>
            </w:r>
          </w:p>
        </w:tc>
      </w:tr>
      <w:tr>
        <w:tblPrEx>
          <w:tblCellMar>
            <w:top w:w="0" w:type="dxa"/>
            <w:left w:w="0" w:type="dxa"/>
            <w:bottom w:w="0" w:type="dxa"/>
            <w:right w:w="0" w:type="dxa"/>
          </w:tblCellMar>
        </w:tblPrEx>
        <w:trPr>
          <w:trHeight w:val="1687" w:hRule="atLeast"/>
        </w:trPr>
        <w:tc>
          <w:tcPr>
            <w:tcW w:w="4360"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top"/>
          </w:tcPr>
          <w:p>
            <w:pPr>
              <w:widowControl/>
              <w:textAlignment w:val="bottom"/>
            </w:pPr>
            <w:r>
              <w:rPr>
                <w:kern w:val="0"/>
                <w:sz w:val="24"/>
              </w:rPr>
              <w:t>监理单位意见</w:t>
            </w:r>
            <w:r>
              <w:rPr>
                <w:rFonts w:hint="eastAsia"/>
                <w:kern w:val="0"/>
                <w:sz w:val="24"/>
                <w:lang w:eastAsia="zh-CN"/>
              </w:rPr>
              <w:t>：</w:t>
            </w:r>
          </w:p>
          <w:p>
            <w:pPr>
              <w:widowControl/>
              <w:ind w:firstLine="1800"/>
              <w:textAlignment w:val="bottom"/>
            </w:pPr>
          </w:p>
          <w:p>
            <w:pPr>
              <w:widowControl/>
              <w:textAlignment w:val="bottom"/>
            </w:pPr>
          </w:p>
          <w:p>
            <w:pPr>
              <w:widowControl/>
              <w:textAlignment w:val="bottom"/>
            </w:pPr>
            <w:r>
              <w:rPr>
                <w:kern w:val="0"/>
                <w:sz w:val="24"/>
              </w:rPr>
              <w:t>签名：</w:t>
            </w:r>
          </w:p>
          <w:p>
            <w:pPr>
              <w:widowControl/>
              <w:ind w:firstLine="2296" w:firstLineChars="957"/>
              <w:textAlignment w:val="bottom"/>
            </w:pPr>
            <w:r>
              <w:rPr>
                <w:kern w:val="0"/>
                <w:sz w:val="24"/>
              </w:rPr>
              <w:t>（章）</w:t>
            </w:r>
          </w:p>
          <w:p>
            <w:pPr>
              <w:widowControl/>
              <w:ind w:firstLine="2020" w:firstLineChars="842"/>
              <w:textAlignment w:val="bottom"/>
              <w:rPr>
                <w:rFonts w:hint="eastAsia" w:asciiTheme="minorHAnsi" w:hAnsiTheme="minorHAnsi" w:eastAsiaTheme="minorEastAsia" w:cstheme="minorBidi"/>
                <w:kern w:val="0"/>
                <w:sz w:val="24"/>
                <w:szCs w:val="24"/>
                <w:lang w:val="en-US" w:eastAsia="zh-CN" w:bidi="ar-SA"/>
              </w:rPr>
            </w:pPr>
            <w:r>
              <w:rPr>
                <w:kern w:val="0"/>
                <w:sz w:val="24"/>
              </w:rPr>
              <w:t>年  月  日</w:t>
            </w:r>
          </w:p>
        </w:tc>
        <w:tc>
          <w:tcPr>
            <w:tcW w:w="8720" w:type="dxa"/>
            <w:gridSpan w:val="6"/>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top"/>
          </w:tcPr>
          <w:p>
            <w:pPr>
              <w:widowControl/>
              <w:textAlignment w:val="bottom"/>
              <w:rPr>
                <w:rFonts w:hint="eastAsia"/>
                <w:kern w:val="0"/>
                <w:sz w:val="24"/>
              </w:rPr>
            </w:pPr>
            <w:r>
              <w:rPr>
                <w:kern w:val="0"/>
                <w:sz w:val="24"/>
              </w:rPr>
              <w:t>建设单位意见</w:t>
            </w:r>
            <w:r>
              <w:rPr>
                <w:rFonts w:hint="eastAsia"/>
                <w:kern w:val="0"/>
                <w:sz w:val="24"/>
                <w:lang w:eastAsia="zh-CN"/>
              </w:rPr>
              <w:t>：</w:t>
            </w:r>
          </w:p>
          <w:p>
            <w:pPr>
              <w:widowControl/>
              <w:textAlignment w:val="bottom"/>
              <w:rPr>
                <w:rFonts w:hint="eastAsia" w:ascii="仿宋_GB2312" w:hAnsi="仿宋_GB2312" w:eastAsia="仿宋_GB2312" w:cs="仿宋_GB2312"/>
                <w:color w:val="BFBFBF" w:themeColor="background1" w:themeShade="BF"/>
                <w:kern w:val="0"/>
                <w:sz w:val="24"/>
                <w:lang w:eastAsia="zh-CN"/>
              </w:rPr>
            </w:pPr>
            <w:r>
              <w:rPr>
                <w:rFonts w:hint="eastAsia" w:ascii="仿宋_GB2312" w:hAnsi="仿宋_GB2312" w:eastAsia="仿宋_GB2312" w:cs="仿宋_GB2312"/>
                <w:color w:val="BFBFBF" w:themeColor="background1" w:themeShade="BF"/>
                <w:kern w:val="0"/>
                <w:sz w:val="24"/>
                <w:lang w:eastAsia="zh-CN"/>
              </w:rPr>
              <w:t>例：</w:t>
            </w:r>
            <w:r>
              <w:rPr>
                <w:rFonts w:hint="eastAsia" w:ascii="仿宋_GB2312" w:hAnsi="仿宋_GB2312" w:eastAsia="仿宋_GB2312" w:cs="仿宋_GB2312"/>
                <w:color w:val="BFBFBF" w:themeColor="background1" w:themeShade="BF"/>
                <w:kern w:val="0"/>
                <w:sz w:val="24"/>
              </w:rPr>
              <w:t>已完成设计及合同约定的绿色建筑事项，质量符合有关法律、法规和工程建设强制性标准，特申请绿色建筑专项验收</w:t>
            </w:r>
            <w:r>
              <w:rPr>
                <w:rFonts w:hint="eastAsia" w:ascii="仿宋_GB2312" w:hAnsi="仿宋_GB2312" w:eastAsia="仿宋_GB2312" w:cs="仿宋_GB2312"/>
                <w:color w:val="BFBFBF" w:themeColor="background1" w:themeShade="BF"/>
                <w:kern w:val="0"/>
                <w:sz w:val="24"/>
                <w:lang w:eastAsia="zh-CN"/>
              </w:rPr>
              <w:t>。</w:t>
            </w:r>
          </w:p>
          <w:p>
            <w:pPr>
              <w:widowControl/>
              <w:textAlignment w:val="bottom"/>
              <w:rPr>
                <w:rFonts w:hint="eastAsia"/>
                <w:kern w:val="0"/>
                <w:sz w:val="24"/>
              </w:rPr>
            </w:pPr>
          </w:p>
          <w:p>
            <w:pPr>
              <w:widowControl/>
              <w:ind w:firstLine="6000" w:firstLineChars="2500"/>
              <w:textAlignment w:val="bottom"/>
              <w:rPr>
                <w:rFonts w:hint="eastAsia"/>
              </w:rPr>
            </w:pPr>
            <w:r>
              <w:rPr>
                <w:kern w:val="0"/>
                <w:sz w:val="24"/>
              </w:rPr>
              <w:t>签名：</w:t>
            </w:r>
          </w:p>
          <w:p>
            <w:pPr>
              <w:widowControl/>
              <w:ind w:firstLine="7920" w:firstLineChars="3300"/>
              <w:textAlignment w:val="bottom"/>
            </w:pPr>
            <w:r>
              <w:rPr>
                <w:kern w:val="0"/>
                <w:sz w:val="24"/>
              </w:rPr>
              <w:t>（章）</w:t>
            </w:r>
          </w:p>
          <w:p>
            <w:pPr>
              <w:widowControl/>
              <w:ind w:firstLine="7440" w:firstLineChars="3100"/>
              <w:textAlignment w:val="bottom"/>
              <w:rPr>
                <w:rFonts w:hint="eastAsia" w:asciiTheme="minorHAnsi" w:hAnsiTheme="minorHAnsi" w:eastAsiaTheme="minorEastAsia" w:cstheme="minorBidi"/>
                <w:kern w:val="0"/>
                <w:sz w:val="24"/>
                <w:szCs w:val="24"/>
                <w:lang w:val="en-US" w:eastAsia="zh-CN" w:bidi="ar-SA"/>
              </w:rPr>
            </w:pPr>
            <w:r>
              <w:rPr>
                <w:kern w:val="0"/>
                <w:sz w:val="24"/>
              </w:rPr>
              <w:t>年  月  日</w:t>
            </w:r>
          </w:p>
        </w:tc>
      </w:tr>
    </w:tbl>
    <w:p>
      <w:pPr>
        <w:rPr>
          <w:rFonts w:hint="eastAsia"/>
          <w:b/>
          <w:bCs/>
          <w:sz w:val="22"/>
          <w:szCs w:val="28"/>
          <w:lang w:val="en-US" w:eastAsia="zh-CN"/>
        </w:rPr>
      </w:pPr>
    </w:p>
    <w:p>
      <w:pPr>
        <w:rPr>
          <w:rFonts w:hint="default"/>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b/>
          <w:bCs/>
          <w:sz w:val="22"/>
          <w:szCs w:val="28"/>
          <w:lang w:val="en-US" w:eastAsia="zh-CN"/>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附件3：</w:t>
      </w:r>
    </w:p>
    <w:p>
      <w:pPr>
        <w:jc w:val="center"/>
        <w:rPr>
          <w:rFonts w:hint="default"/>
          <w:sz w:val="28"/>
          <w:szCs w:val="36"/>
          <w:lang w:val="en-US" w:eastAsia="zh-CN"/>
        </w:rPr>
      </w:pPr>
      <w:r>
        <w:rPr>
          <w:rFonts w:hint="default"/>
          <w:sz w:val="28"/>
          <w:szCs w:val="36"/>
          <w:lang w:val="en-US" w:eastAsia="zh-CN"/>
        </w:rPr>
        <w:t>绿色建筑工程验收专家评审意见表——地基基础与结构</w:t>
      </w:r>
    </w:p>
    <w:tbl>
      <w:tblPr>
        <w:tblStyle w:val="2"/>
        <w:tblW w:w="1311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88"/>
        <w:gridCol w:w="4412"/>
        <w:gridCol w:w="3713"/>
        <w:gridCol w:w="161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rPr>
                <w:rFonts w:hint="default"/>
                <w:lang w:val="en-US" w:eastAsia="zh-CN"/>
              </w:rPr>
            </w:pPr>
            <w:r>
              <w:rPr>
                <w:rFonts w:hint="default"/>
                <w:lang w:val="en-US" w:eastAsia="zh-CN"/>
              </w:rPr>
              <w:t>类别</w:t>
            </w:r>
          </w:p>
        </w:tc>
        <w:tc>
          <w:tcPr>
            <w:tcW w:w="1088" w:type="dxa"/>
            <w:vAlign w:val="center"/>
          </w:tcPr>
          <w:p>
            <w:pPr>
              <w:rPr>
                <w:rFonts w:hint="default"/>
                <w:lang w:val="en-US" w:eastAsia="zh-CN"/>
              </w:rPr>
            </w:pPr>
            <w:r>
              <w:rPr>
                <w:rFonts w:hint="default"/>
                <w:lang w:val="en-US" w:eastAsia="zh-CN"/>
              </w:rPr>
              <w:t>评价标准条文编号</w:t>
            </w:r>
          </w:p>
        </w:tc>
        <w:tc>
          <w:tcPr>
            <w:tcW w:w="4412" w:type="dxa"/>
            <w:vAlign w:val="center"/>
          </w:tcPr>
          <w:p>
            <w:pPr>
              <w:rPr>
                <w:rFonts w:hint="default"/>
                <w:lang w:val="en-US" w:eastAsia="zh-CN"/>
              </w:rPr>
            </w:pPr>
            <w:r>
              <w:rPr>
                <w:rFonts w:hint="default"/>
                <w:lang w:val="en-US" w:eastAsia="zh-CN"/>
              </w:rPr>
              <w:t>条文内容及分值</w:t>
            </w:r>
          </w:p>
        </w:tc>
        <w:tc>
          <w:tcPr>
            <w:tcW w:w="3713" w:type="dxa"/>
            <w:vAlign w:val="center"/>
          </w:tcPr>
          <w:p>
            <w:pPr>
              <w:rPr>
                <w:rFonts w:hint="default"/>
                <w:lang w:val="en-US" w:eastAsia="zh-CN"/>
              </w:rPr>
            </w:pPr>
            <w:r>
              <w:rPr>
                <w:rFonts w:hint="default"/>
                <w:lang w:val="en-US" w:eastAsia="zh-CN"/>
              </w:rPr>
              <w:t>证明文件</w:t>
            </w:r>
          </w:p>
        </w:tc>
        <w:tc>
          <w:tcPr>
            <w:tcW w:w="1612" w:type="dxa"/>
            <w:vAlign w:val="center"/>
          </w:tcPr>
          <w:p>
            <w:pPr>
              <w:rPr>
                <w:rFonts w:hint="default"/>
                <w:lang w:val="en-US" w:eastAsia="zh-CN"/>
              </w:rPr>
            </w:pPr>
            <w:r>
              <w:rPr>
                <w:rFonts w:hint="default"/>
                <w:lang w:val="en-US" w:eastAsia="zh-CN"/>
              </w:rPr>
              <w:t>评审结果</w:t>
            </w:r>
          </w:p>
        </w:tc>
        <w:tc>
          <w:tcPr>
            <w:tcW w:w="1325"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restart"/>
            <w:vAlign w:val="center"/>
          </w:tcPr>
          <w:p>
            <w:pPr>
              <w:rPr>
                <w:rFonts w:hint="default"/>
                <w:lang w:val="en-US" w:eastAsia="zh-CN"/>
              </w:rPr>
            </w:pPr>
            <w:r>
              <w:rPr>
                <w:rFonts w:hint="default"/>
                <w:lang w:val="en-US" w:eastAsia="zh-CN"/>
              </w:rPr>
              <w:t>控制项</w:t>
            </w:r>
          </w:p>
        </w:tc>
        <w:tc>
          <w:tcPr>
            <w:tcW w:w="1088" w:type="dxa"/>
            <w:vAlign w:val="center"/>
          </w:tcPr>
          <w:p>
            <w:pPr>
              <w:rPr>
                <w:rFonts w:hint="default"/>
                <w:lang w:val="en-US" w:eastAsia="zh-CN"/>
              </w:rPr>
            </w:pPr>
            <w:r>
              <w:rPr>
                <w:rFonts w:hint="default"/>
                <w:lang w:val="en-US" w:eastAsia="zh-CN"/>
              </w:rPr>
              <w:t>4.1.1</w:t>
            </w:r>
          </w:p>
        </w:tc>
        <w:tc>
          <w:tcPr>
            <w:tcW w:w="4412" w:type="dxa"/>
            <w:vAlign w:val="center"/>
          </w:tcPr>
          <w:p>
            <w:pPr>
              <w:rPr>
                <w:rFonts w:hint="default"/>
                <w:lang w:val="en-US" w:eastAsia="zh-CN"/>
              </w:rPr>
            </w:pPr>
            <w:r>
              <w:rPr>
                <w:rFonts w:hint="default"/>
                <w:lang w:val="en-US" w:eastAsia="zh-CN"/>
              </w:rPr>
              <w:t>场地应避开滑坡、泥石流等地质危险地段，易发生洪涝地区应有可靠的防洪涝基础设施；场地应无危险化学品、易燃易爆危险源的威胁，应无电磁辐射、含氡土壤的危害。</w:t>
            </w:r>
          </w:p>
        </w:tc>
        <w:tc>
          <w:tcPr>
            <w:tcW w:w="3713" w:type="dxa"/>
            <w:vAlign w:val="center"/>
          </w:tcPr>
          <w:p>
            <w:pPr>
              <w:rPr>
                <w:rFonts w:hint="default"/>
                <w:lang w:val="en-US" w:eastAsia="zh-CN"/>
              </w:rPr>
            </w:pPr>
            <w:r>
              <w:rPr>
                <w:rFonts w:hint="default"/>
                <w:lang w:val="en-US" w:eastAsia="zh-CN"/>
              </w:rPr>
              <w:t>□项目区位图</w:t>
            </w:r>
          </w:p>
          <w:p>
            <w:pPr>
              <w:rPr>
                <w:rFonts w:hint="default"/>
                <w:lang w:val="en-US" w:eastAsia="zh-CN"/>
              </w:rPr>
            </w:pPr>
            <w:r>
              <w:rPr>
                <w:rFonts w:hint="default"/>
                <w:lang w:val="en-US" w:eastAsia="zh-CN"/>
              </w:rPr>
              <w:t>□场地地形图</w:t>
            </w:r>
          </w:p>
          <w:p>
            <w:pPr>
              <w:rPr>
                <w:rFonts w:hint="default"/>
                <w:lang w:val="en-US" w:eastAsia="zh-CN"/>
              </w:rPr>
            </w:pPr>
            <w:r>
              <w:rPr>
                <w:rFonts w:hint="default"/>
                <w:lang w:val="en-US" w:eastAsia="zh-CN"/>
              </w:rPr>
              <w:t>□勘查报告</w:t>
            </w:r>
          </w:p>
          <w:p>
            <w:pPr>
              <w:rPr>
                <w:rFonts w:hint="default"/>
                <w:lang w:val="en-US" w:eastAsia="zh-CN"/>
              </w:rPr>
            </w:pPr>
            <w:r>
              <w:rPr>
                <w:rFonts w:hint="default"/>
                <w:lang w:val="en-US" w:eastAsia="zh-CN"/>
              </w:rPr>
              <w:t>□环评报告</w:t>
            </w:r>
          </w:p>
          <w:p>
            <w:pPr>
              <w:rPr>
                <w:rFonts w:hint="default"/>
                <w:lang w:val="en-US" w:eastAsia="zh-CN"/>
              </w:rPr>
            </w:pPr>
            <w:r>
              <w:rPr>
                <w:rFonts w:hint="default"/>
                <w:lang w:val="en-US" w:eastAsia="zh-CN"/>
              </w:rPr>
              <w:t>□相关检测报告或论证报告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4.1.2</w:t>
            </w:r>
          </w:p>
        </w:tc>
        <w:tc>
          <w:tcPr>
            <w:tcW w:w="4412" w:type="dxa"/>
            <w:vAlign w:val="center"/>
          </w:tcPr>
          <w:p>
            <w:pPr>
              <w:rPr>
                <w:rFonts w:hint="default"/>
                <w:lang w:val="en-US" w:eastAsia="zh-CN"/>
              </w:rPr>
            </w:pPr>
            <w:r>
              <w:rPr>
                <w:rFonts w:hint="default"/>
                <w:lang w:val="en-US" w:eastAsia="zh-CN"/>
              </w:rPr>
              <w:t>建筑结构应满足承载力和建筑使用功能要求。建筑外墙、屋面、门窗、幕墙及外保温等围护结构应满足安全、耐久和防护的要求。</w:t>
            </w:r>
          </w:p>
        </w:tc>
        <w:tc>
          <w:tcPr>
            <w:tcW w:w="3713" w:type="dxa"/>
            <w:vAlign w:val="center"/>
          </w:tcPr>
          <w:p>
            <w:pPr>
              <w:rPr>
                <w:rFonts w:hint="default"/>
                <w:lang w:val="en-US" w:eastAsia="zh-CN"/>
              </w:rPr>
            </w:pPr>
            <w:r>
              <w:rPr>
                <w:rFonts w:hint="default"/>
                <w:lang w:val="en-US" w:eastAsia="zh-CN"/>
              </w:rPr>
              <w:t>□相关竣工图（含设计说明、计算书等）</w:t>
            </w:r>
          </w:p>
          <w:p>
            <w:pPr>
              <w:rPr>
                <w:rFonts w:hint="default"/>
                <w:lang w:val="en-US" w:eastAsia="zh-CN"/>
              </w:rPr>
            </w:pPr>
            <w:r>
              <w:rPr>
                <w:rFonts w:hint="default"/>
                <w:lang w:val="en-US" w:eastAsia="zh-CN"/>
              </w:rPr>
              <w:t>□出厂合格证、产品认证或相关证明文件</w:t>
            </w:r>
          </w:p>
          <w:p>
            <w:pPr>
              <w:rPr>
                <w:rFonts w:hint="default"/>
                <w:lang w:val="en-US" w:eastAsia="zh-CN"/>
              </w:rPr>
            </w:pPr>
            <w:r>
              <w:rPr>
                <w:rFonts w:hint="default"/>
                <w:lang w:val="en-US" w:eastAsia="zh-CN"/>
              </w:rPr>
              <w:t>□检验报告</w:t>
            </w:r>
          </w:p>
          <w:p>
            <w:pPr>
              <w:rPr>
                <w:rFonts w:hint="default"/>
                <w:lang w:val="en-US" w:eastAsia="zh-CN"/>
              </w:rPr>
            </w:pPr>
            <w:r>
              <w:rPr>
                <w:rFonts w:hint="default"/>
                <w:lang w:val="en-US" w:eastAsia="zh-CN"/>
              </w:rPr>
              <w:t>□进场验收记录和复验报告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4.1.3</w:t>
            </w:r>
          </w:p>
        </w:tc>
        <w:tc>
          <w:tcPr>
            <w:tcW w:w="4412" w:type="dxa"/>
            <w:vAlign w:val="center"/>
          </w:tcPr>
          <w:p>
            <w:pPr>
              <w:rPr>
                <w:rFonts w:hint="default"/>
                <w:lang w:val="en-US" w:eastAsia="zh-CN"/>
              </w:rPr>
            </w:pPr>
            <w:r>
              <w:rPr>
                <w:rFonts w:hint="default"/>
                <w:lang w:val="en-US" w:eastAsia="zh-CN"/>
              </w:rPr>
              <w:t>外遮阳、太阳能设施、空调室外机位、外墙花池等外部设施应与主体结构统一设计、施工，并具备安装、检修与维护条件。</w:t>
            </w:r>
          </w:p>
        </w:tc>
        <w:tc>
          <w:tcPr>
            <w:tcW w:w="3713" w:type="dxa"/>
            <w:vAlign w:val="center"/>
          </w:tcPr>
          <w:p>
            <w:pPr>
              <w:rPr>
                <w:rFonts w:hint="default"/>
                <w:lang w:val="en-US" w:eastAsia="zh-CN"/>
              </w:rPr>
            </w:pPr>
            <w:r>
              <w:rPr>
                <w:rFonts w:hint="default"/>
                <w:lang w:val="en-US" w:eastAsia="zh-CN"/>
              </w:rPr>
              <w:t>□相关竣工图（含设计说明、计算书等）</w:t>
            </w:r>
          </w:p>
          <w:p>
            <w:pPr>
              <w:rPr>
                <w:rFonts w:hint="default"/>
                <w:lang w:val="en-US" w:eastAsia="zh-CN"/>
              </w:rPr>
            </w:pPr>
            <w:r>
              <w:rPr>
                <w:rFonts w:hint="default"/>
                <w:lang w:val="en-US" w:eastAsia="zh-CN"/>
              </w:rPr>
              <w:t>□检修与维护条件</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4.1.4</w:t>
            </w:r>
          </w:p>
        </w:tc>
        <w:tc>
          <w:tcPr>
            <w:tcW w:w="4412" w:type="dxa"/>
            <w:vAlign w:val="center"/>
          </w:tcPr>
          <w:p>
            <w:pPr>
              <w:rPr>
                <w:rFonts w:hint="default"/>
                <w:lang w:val="en-US" w:eastAsia="zh-CN"/>
              </w:rPr>
            </w:pPr>
            <w:r>
              <w:rPr>
                <w:rFonts w:hint="default"/>
                <w:lang w:val="en-US" w:eastAsia="zh-CN"/>
              </w:rPr>
              <w:t>建筑内部的非结构构件、设备及附属设施等应连接牢固并能适应主体结构变形。</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□材料决算清单</w:t>
            </w:r>
          </w:p>
          <w:p>
            <w:pPr>
              <w:rPr>
                <w:rFonts w:hint="default"/>
                <w:lang w:val="en-US" w:eastAsia="zh-CN"/>
              </w:rPr>
            </w:pPr>
            <w:r>
              <w:rPr>
                <w:rFonts w:hint="default"/>
                <w:lang w:val="en-US" w:eastAsia="zh-CN"/>
              </w:rPr>
              <w:t>□产品说明书</w:t>
            </w:r>
          </w:p>
          <w:p>
            <w:pPr>
              <w:rPr>
                <w:rFonts w:hint="default"/>
                <w:lang w:val="en-US" w:eastAsia="zh-CN"/>
              </w:rPr>
            </w:pPr>
            <w:r>
              <w:rPr>
                <w:rFonts w:hint="default"/>
                <w:lang w:val="en-US" w:eastAsia="zh-CN"/>
              </w:rPr>
              <w:t>□力学及耐久性能测试或实验报告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7.1.1</w:t>
            </w:r>
          </w:p>
        </w:tc>
        <w:tc>
          <w:tcPr>
            <w:tcW w:w="4412" w:type="dxa"/>
            <w:vAlign w:val="center"/>
          </w:tcPr>
          <w:p>
            <w:pPr>
              <w:rPr>
                <w:rFonts w:hint="default"/>
                <w:lang w:val="en-US" w:eastAsia="zh-CN"/>
              </w:rPr>
            </w:pPr>
            <w:r>
              <w:rPr>
                <w:rFonts w:hint="default"/>
                <w:lang w:val="en-US" w:eastAsia="zh-CN"/>
              </w:rPr>
              <w:t>应结合场地自然条件和建筑功能需求，对建筑的体形、平面布局、空间尺度、围护结构等进行节能设计，且应符合国家有关节能设计的要求。</w:t>
            </w:r>
          </w:p>
        </w:tc>
        <w:tc>
          <w:tcPr>
            <w:tcW w:w="3713" w:type="dxa"/>
            <w:vAlign w:val="center"/>
          </w:tcPr>
          <w:p>
            <w:pPr>
              <w:rPr>
                <w:rFonts w:hint="default"/>
                <w:lang w:val="en-US" w:eastAsia="zh-CN"/>
              </w:rPr>
            </w:pPr>
            <w:r>
              <w:rPr>
                <w:rFonts w:hint="default"/>
                <w:lang w:val="en-US" w:eastAsia="zh-CN"/>
              </w:rPr>
              <w:t>□建筑节能工程验收文件</w:t>
            </w:r>
          </w:p>
          <w:p>
            <w:pPr>
              <w:rPr>
                <w:rFonts w:hint="default"/>
                <w:lang w:val="en-US" w:eastAsia="zh-CN"/>
              </w:rPr>
            </w:pPr>
            <w:r>
              <w:rPr>
                <w:rFonts w:hint="default"/>
                <w:lang w:val="en-US" w:eastAsia="zh-CN"/>
              </w:rPr>
              <w:t>□建筑节能设计说明专篇</w:t>
            </w:r>
          </w:p>
          <w:p>
            <w:pPr>
              <w:rPr>
                <w:rFonts w:hint="default"/>
                <w:lang w:val="en-US" w:eastAsia="zh-CN"/>
              </w:rPr>
            </w:pPr>
            <w:r>
              <w:rPr>
                <w:rFonts w:hint="default"/>
                <w:lang w:val="en-US" w:eastAsia="zh-CN"/>
              </w:rPr>
              <w:t>□节能计算书</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7.1.8</w:t>
            </w:r>
          </w:p>
        </w:tc>
        <w:tc>
          <w:tcPr>
            <w:tcW w:w="4412" w:type="dxa"/>
            <w:vAlign w:val="center"/>
          </w:tcPr>
          <w:p>
            <w:pPr>
              <w:rPr>
                <w:rFonts w:hint="default"/>
                <w:lang w:val="en-US" w:eastAsia="zh-CN"/>
              </w:rPr>
            </w:pPr>
            <w:r>
              <w:rPr>
                <w:rFonts w:hint="default"/>
                <w:lang w:val="en-US" w:eastAsia="zh-CN"/>
              </w:rPr>
              <w:t>不应采用建筑形体和布置严重不规则的建筑结构</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□建筑形体规则性判定报告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7.1.9</w:t>
            </w:r>
          </w:p>
        </w:tc>
        <w:tc>
          <w:tcPr>
            <w:tcW w:w="4412" w:type="dxa"/>
            <w:vAlign w:val="center"/>
          </w:tcPr>
          <w:p>
            <w:pPr>
              <w:rPr>
                <w:rFonts w:hint="default"/>
                <w:lang w:val="en-US" w:eastAsia="zh-CN"/>
              </w:rPr>
            </w:pPr>
            <w:r>
              <w:rPr>
                <w:rFonts w:hint="default"/>
                <w:lang w:val="en-US" w:eastAsia="zh-CN"/>
              </w:rPr>
              <w:t>建筑造型要素应简约，应无大量装饰性构件，并应符合下列规定：</w:t>
            </w:r>
          </w:p>
          <w:p>
            <w:pPr>
              <w:rPr>
                <w:rFonts w:hint="default"/>
                <w:lang w:val="en-US" w:eastAsia="zh-CN"/>
              </w:rPr>
            </w:pPr>
            <w:r>
              <w:rPr>
                <w:rFonts w:hint="default"/>
                <w:lang w:val="en-US" w:eastAsia="zh-CN"/>
              </w:rPr>
              <w:t>1 住宅建筑的装饰性构件造价占建筑总造价的比例不应大于 2%；</w:t>
            </w:r>
          </w:p>
          <w:p>
            <w:pPr>
              <w:rPr>
                <w:rFonts w:hint="default"/>
                <w:lang w:val="en-US" w:eastAsia="zh-CN"/>
              </w:rPr>
            </w:pPr>
            <w:r>
              <w:rPr>
                <w:rFonts w:hint="default"/>
                <w:lang w:val="en-US" w:eastAsia="zh-CN"/>
              </w:rPr>
              <w:t>2 公共建筑的装饰性构件造价占建筑总造价的比例不应大于 1%。</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□装饰性构建成本计算书</w:t>
            </w:r>
          </w:p>
          <w:p>
            <w:pPr>
              <w:rPr>
                <w:rFonts w:hint="default"/>
                <w:lang w:val="en-US" w:eastAsia="zh-CN"/>
              </w:rPr>
            </w:pPr>
            <w:r>
              <w:rPr>
                <w:rFonts w:hint="default"/>
                <w:lang w:val="en-US" w:eastAsia="zh-CN"/>
              </w:rPr>
              <w:t>□现场核查</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7.1.10</w:t>
            </w:r>
          </w:p>
        </w:tc>
        <w:tc>
          <w:tcPr>
            <w:tcW w:w="4412" w:type="dxa"/>
            <w:vAlign w:val="center"/>
          </w:tcPr>
          <w:p>
            <w:pPr>
              <w:rPr>
                <w:rFonts w:hint="default"/>
                <w:lang w:val="en-US" w:eastAsia="zh-CN"/>
              </w:rPr>
            </w:pPr>
            <w:r>
              <w:rPr>
                <w:rFonts w:hint="default"/>
                <w:lang w:val="en-US" w:eastAsia="zh-CN"/>
              </w:rPr>
              <w:t>选用的建筑材料应符合下列规定：</w:t>
            </w:r>
          </w:p>
          <w:p>
            <w:pPr>
              <w:rPr>
                <w:rFonts w:hint="default"/>
                <w:lang w:val="en-US" w:eastAsia="zh-CN"/>
              </w:rPr>
            </w:pPr>
            <w:r>
              <w:rPr>
                <w:rFonts w:hint="default"/>
                <w:lang w:val="en-US" w:eastAsia="zh-CN"/>
              </w:rPr>
              <w:t>1.500km以内生产的建筑材料重量占建筑材料总重量的比例应大于60%；</w:t>
            </w:r>
          </w:p>
          <w:p>
            <w:pPr>
              <w:rPr>
                <w:rFonts w:hint="default"/>
                <w:lang w:val="en-US" w:eastAsia="zh-CN"/>
              </w:rPr>
            </w:pPr>
            <w:r>
              <w:rPr>
                <w:rFonts w:hint="default"/>
                <w:lang w:val="en-US" w:eastAsia="zh-CN"/>
              </w:rPr>
              <w:t>2.现浇混凝土应采用预拌混凝土，建筑砂浆应采用预拌砂浆。</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□购销合同及用量清单等有关证明文件</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restart"/>
            <w:vAlign w:val="center"/>
          </w:tcPr>
          <w:p>
            <w:pPr>
              <w:rPr>
                <w:rFonts w:hint="default"/>
                <w:lang w:val="en-US" w:eastAsia="zh-CN"/>
              </w:rPr>
            </w:pPr>
            <w:r>
              <w:rPr>
                <w:rFonts w:hint="default"/>
                <w:lang w:val="en-US" w:eastAsia="zh-CN"/>
              </w:rPr>
              <w:t>评分项</w:t>
            </w:r>
          </w:p>
        </w:tc>
        <w:tc>
          <w:tcPr>
            <w:tcW w:w="1088" w:type="dxa"/>
            <w:vAlign w:val="center"/>
          </w:tcPr>
          <w:p>
            <w:pPr>
              <w:rPr>
                <w:rFonts w:hint="default"/>
                <w:lang w:val="en-US" w:eastAsia="zh-CN"/>
              </w:rPr>
            </w:pPr>
            <w:r>
              <w:rPr>
                <w:rFonts w:hint="default"/>
                <w:lang w:val="en-US" w:eastAsia="zh-CN"/>
              </w:rPr>
              <w:t>4.2.1</w:t>
            </w:r>
          </w:p>
        </w:tc>
        <w:tc>
          <w:tcPr>
            <w:tcW w:w="4412" w:type="dxa"/>
            <w:vAlign w:val="center"/>
          </w:tcPr>
          <w:p>
            <w:pPr>
              <w:rPr>
                <w:rFonts w:hint="default"/>
                <w:lang w:val="en-US" w:eastAsia="zh-CN"/>
              </w:rPr>
            </w:pPr>
            <w:r>
              <w:rPr>
                <w:rFonts w:hint="default"/>
                <w:lang w:val="en-US" w:eastAsia="zh-CN"/>
              </w:rPr>
              <w:t>采用基于性能的抗震设计并合理提高抗震性能，评价分值为10分</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□结构计算文件</w:t>
            </w:r>
          </w:p>
          <w:p>
            <w:pPr>
              <w:rPr>
                <w:rFonts w:hint="default"/>
                <w:lang w:val="en-US" w:eastAsia="zh-CN"/>
              </w:rPr>
            </w:pPr>
            <w:r>
              <w:rPr>
                <w:rFonts w:hint="default"/>
                <w:lang w:val="en-US" w:eastAsia="zh-CN"/>
              </w:rPr>
              <w:t>□项目安全分析报告及应对措施结果</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7.2.1</w:t>
            </w:r>
          </w:p>
        </w:tc>
        <w:tc>
          <w:tcPr>
            <w:tcW w:w="4412" w:type="dxa"/>
            <w:vAlign w:val="center"/>
          </w:tcPr>
          <w:p>
            <w:pPr>
              <w:rPr>
                <w:rFonts w:hint="default"/>
                <w:lang w:val="en-US" w:eastAsia="zh-CN"/>
              </w:rPr>
            </w:pPr>
            <w:r>
              <w:rPr>
                <w:rFonts w:hint="default"/>
                <w:lang w:val="en-US" w:eastAsia="zh-CN"/>
              </w:rPr>
              <w:t>节约集约利用土地，评价总分值为20分，并按下列规则评分：</w:t>
            </w:r>
          </w:p>
          <w:p>
            <w:pPr>
              <w:rPr>
                <w:rFonts w:hint="default"/>
                <w:lang w:val="en-US" w:eastAsia="zh-CN"/>
              </w:rPr>
            </w:pPr>
            <w:r>
              <w:rPr>
                <w:rFonts w:hint="default"/>
                <w:lang w:val="en-US" w:eastAsia="zh-CN"/>
              </w:rPr>
              <w:t>1 对于住宅建筑，根据其所在居住街坊人均住宅用地指标按表7.2.1-1的规则评分。</w:t>
            </w:r>
          </w:p>
          <w:p>
            <w:pPr>
              <w:rPr>
                <w:rFonts w:hint="default"/>
                <w:lang w:val="en-US" w:eastAsia="zh-CN"/>
              </w:rPr>
            </w:pPr>
            <w:r>
              <w:rPr>
                <w:rFonts w:hint="default"/>
                <w:lang w:val="en-US" w:eastAsia="zh-CN"/>
              </w:rPr>
              <w:t>2 对于公共建筑，根据不同功能建筑的容积率CR) 按表</w:t>
            </w:r>
          </w:p>
          <w:p>
            <w:pPr>
              <w:rPr>
                <w:rFonts w:hint="default"/>
                <w:lang w:val="en-US" w:eastAsia="zh-CN"/>
              </w:rPr>
            </w:pPr>
            <w:r>
              <w:rPr>
                <w:rFonts w:hint="default"/>
                <w:lang w:val="en-US" w:eastAsia="zh-CN"/>
              </w:rPr>
              <w:t>7. 2. 1-2 的规则评分。</w:t>
            </w:r>
          </w:p>
        </w:tc>
        <w:tc>
          <w:tcPr>
            <w:tcW w:w="3713" w:type="dxa"/>
            <w:vAlign w:val="center"/>
          </w:tcPr>
          <w:p>
            <w:pPr>
              <w:rPr>
                <w:rFonts w:hint="default"/>
                <w:lang w:val="en-US" w:eastAsia="zh-CN"/>
              </w:rPr>
            </w:pPr>
            <w:r>
              <w:rPr>
                <w:rFonts w:hint="default"/>
                <w:lang w:val="en-US" w:eastAsia="zh-CN"/>
              </w:rPr>
              <w:t>□规划竣工测量报告</w:t>
            </w:r>
          </w:p>
          <w:p>
            <w:pPr>
              <w:rPr>
                <w:rFonts w:hint="default"/>
                <w:lang w:val="en-US" w:eastAsia="zh-CN"/>
              </w:rPr>
            </w:pPr>
            <w:r>
              <w:rPr>
                <w:rFonts w:hint="default"/>
                <w:lang w:val="en-US" w:eastAsia="zh-CN"/>
              </w:rPr>
              <w:t>□绿色建筑设计专篇</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7.2.2</w:t>
            </w:r>
          </w:p>
        </w:tc>
        <w:tc>
          <w:tcPr>
            <w:tcW w:w="4412" w:type="dxa"/>
            <w:vAlign w:val="center"/>
          </w:tcPr>
          <w:p>
            <w:pPr>
              <w:rPr>
                <w:rFonts w:hint="default"/>
                <w:lang w:val="en-US" w:eastAsia="zh-CN"/>
              </w:rPr>
            </w:pPr>
            <w:r>
              <w:rPr>
                <w:rFonts w:hint="default"/>
                <w:lang w:val="en-US" w:eastAsia="zh-CN"/>
              </w:rPr>
              <w:t>合理开发利用地下空间，评价总分值为12分，根据地下空间开发利用指标，按表7.2.2的规则评分。</w:t>
            </w:r>
          </w:p>
        </w:tc>
        <w:tc>
          <w:tcPr>
            <w:tcW w:w="3713" w:type="dxa"/>
            <w:vAlign w:val="center"/>
          </w:tcPr>
          <w:p>
            <w:pPr>
              <w:rPr>
                <w:rFonts w:hint="default"/>
                <w:lang w:val="en-US" w:eastAsia="zh-CN"/>
              </w:rPr>
            </w:pPr>
            <w:r>
              <w:rPr>
                <w:rFonts w:hint="default"/>
                <w:lang w:val="en-US" w:eastAsia="zh-CN"/>
              </w:rPr>
              <w:t>□规划竣工测量报告</w:t>
            </w:r>
          </w:p>
          <w:p>
            <w:pPr>
              <w:rPr>
                <w:rFonts w:hint="default"/>
                <w:lang w:val="en-US" w:eastAsia="zh-CN"/>
              </w:rPr>
            </w:pPr>
            <w:r>
              <w:rPr>
                <w:rFonts w:hint="default"/>
                <w:lang w:val="en-US" w:eastAsia="zh-CN"/>
              </w:rPr>
              <w:t>□绿色建筑设计专篇</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7.2.15</w:t>
            </w:r>
          </w:p>
        </w:tc>
        <w:tc>
          <w:tcPr>
            <w:tcW w:w="4412" w:type="dxa"/>
            <w:vAlign w:val="center"/>
          </w:tcPr>
          <w:p>
            <w:pPr>
              <w:rPr>
                <w:rFonts w:hint="default"/>
                <w:lang w:val="en-US" w:eastAsia="zh-CN"/>
              </w:rPr>
            </w:pPr>
            <w:r>
              <w:rPr>
                <w:rFonts w:hint="default"/>
                <w:lang w:val="en-US" w:eastAsia="zh-CN"/>
              </w:rPr>
              <w:t>合理选用建筑结构材料与构建，评价总分值为10分，并按下列规则评分：</w:t>
            </w:r>
          </w:p>
          <w:p>
            <w:pPr>
              <w:rPr>
                <w:rFonts w:hint="default"/>
                <w:lang w:val="en-US" w:eastAsia="zh-CN"/>
              </w:rPr>
            </w:pPr>
            <w:r>
              <w:rPr>
                <w:rFonts w:hint="default"/>
                <w:lang w:val="en-US" w:eastAsia="zh-CN"/>
              </w:rPr>
              <w:t>混凝土结构，按下列规则分别评分并累计：</w:t>
            </w:r>
          </w:p>
          <w:p>
            <w:pPr>
              <w:rPr>
                <w:rFonts w:hint="default"/>
                <w:lang w:val="en-US" w:eastAsia="zh-CN"/>
              </w:rPr>
            </w:pPr>
            <w:r>
              <w:rPr>
                <w:rFonts w:hint="default"/>
                <w:lang w:val="en-US" w:eastAsia="zh-CN"/>
              </w:rPr>
              <w:t>（1）400MPa级及以上强度等级钢筋应用比例达到85%，得5分；</w:t>
            </w:r>
          </w:p>
          <w:p>
            <w:pPr>
              <w:rPr>
                <w:rFonts w:hint="default"/>
                <w:lang w:val="en-US" w:eastAsia="zh-CN"/>
              </w:rPr>
            </w:pPr>
            <w:r>
              <w:rPr>
                <w:rFonts w:hint="default"/>
                <w:lang w:val="en-US" w:eastAsia="zh-CN"/>
              </w:rPr>
              <w:t>混凝土竖向承重结构采用强度等级不小于C50混凝土用量占竖向承重结构中混凝土总量的比例达到50%，得5分。</w:t>
            </w:r>
          </w:p>
          <w:p>
            <w:pPr>
              <w:rPr>
                <w:rFonts w:hint="default"/>
                <w:lang w:val="en-US" w:eastAsia="zh-CN"/>
              </w:rPr>
            </w:pPr>
            <w:r>
              <w:rPr>
                <w:rFonts w:hint="default"/>
                <w:lang w:val="en-US" w:eastAsia="zh-CN"/>
              </w:rPr>
              <w:t>拱结构，按下列规则分别评分累计：</w:t>
            </w:r>
          </w:p>
          <w:p>
            <w:pPr>
              <w:rPr>
                <w:rFonts w:hint="default"/>
                <w:lang w:val="en-US" w:eastAsia="zh-CN"/>
              </w:rPr>
            </w:pPr>
            <w:r>
              <w:rPr>
                <w:rFonts w:hint="default"/>
                <w:lang w:val="en-US" w:eastAsia="zh-CN"/>
              </w:rPr>
              <w:t>Q345及以上高强钢材用量占钢材总量的比例达到50%，得3分；达到70%，得4分；</w:t>
            </w:r>
          </w:p>
          <w:p>
            <w:pPr>
              <w:rPr>
                <w:rFonts w:hint="default"/>
                <w:lang w:val="en-US" w:eastAsia="zh-CN"/>
              </w:rPr>
            </w:pPr>
            <w:r>
              <w:rPr>
                <w:rFonts w:hint="default"/>
                <w:lang w:val="en-US" w:eastAsia="zh-CN"/>
              </w:rPr>
              <w:t>螺栓连接等非现场焊接点占现场全部连接、拼接节点的数量比例达到50%，得4分；</w:t>
            </w:r>
          </w:p>
          <w:p>
            <w:pPr>
              <w:rPr>
                <w:rFonts w:hint="default"/>
                <w:lang w:val="en-US" w:eastAsia="zh-CN"/>
              </w:rPr>
            </w:pPr>
            <w:r>
              <w:rPr>
                <w:rFonts w:hint="default"/>
                <w:lang w:val="en-US" w:eastAsia="zh-CN"/>
              </w:rPr>
              <w:t>采用施工时免支撑的楼层面板，得2分。</w:t>
            </w:r>
          </w:p>
          <w:p>
            <w:pPr>
              <w:rPr>
                <w:rFonts w:hint="default"/>
                <w:lang w:val="en-US" w:eastAsia="zh-CN"/>
              </w:rPr>
            </w:pPr>
            <w:r>
              <w:rPr>
                <w:rFonts w:hint="default"/>
                <w:lang w:val="en-US" w:eastAsia="zh-CN"/>
              </w:rPr>
              <w:t>3.混合结构：对其混凝土结构部分、钢结构部分，分别按本条第1款、第2款进行评价，得分取各项得分的平均值。</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□施工记录</w:t>
            </w:r>
          </w:p>
          <w:p>
            <w:pPr>
              <w:rPr>
                <w:rFonts w:hint="default"/>
                <w:lang w:val="en-US" w:eastAsia="zh-CN"/>
              </w:rPr>
            </w:pPr>
            <w:r>
              <w:rPr>
                <w:rFonts w:hint="default"/>
                <w:lang w:val="en-US" w:eastAsia="zh-CN"/>
              </w:rPr>
              <w:t>□材料决算清单、各类材料用量比例计算书</w:t>
            </w:r>
          </w:p>
        </w:tc>
        <w:tc>
          <w:tcPr>
            <w:tcW w:w="1612" w:type="dxa"/>
            <w:vAlign w:val="center"/>
          </w:tcPr>
          <w:p>
            <w:pPr>
              <w:rPr>
                <w:rFonts w:hint="default"/>
                <w:lang w:val="en-US" w:eastAsia="zh-CN"/>
              </w:rPr>
            </w:pPr>
            <w:r>
              <w:rPr>
                <w:rFonts w:hint="default"/>
                <w:lang w:val="en-US" w:eastAsia="zh-CN"/>
              </w:rPr>
              <w:t xml:space="preserve">得分：    </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7.2.17</w:t>
            </w:r>
          </w:p>
        </w:tc>
        <w:tc>
          <w:tcPr>
            <w:tcW w:w="4412" w:type="dxa"/>
            <w:vAlign w:val="center"/>
          </w:tcPr>
          <w:p>
            <w:pPr>
              <w:rPr>
                <w:rFonts w:hint="default"/>
                <w:lang w:val="en-US" w:eastAsia="zh-CN"/>
              </w:rPr>
            </w:pPr>
            <w:r>
              <w:rPr>
                <w:rFonts w:hint="default"/>
                <w:lang w:val="en-US" w:eastAsia="zh-CN"/>
              </w:rPr>
              <w:t>选用可再循环材料、可再利用材料及利废建材，评价总分值为12分，并按下列规则分别评分并累计：</w:t>
            </w:r>
          </w:p>
          <w:p>
            <w:pPr>
              <w:rPr>
                <w:rFonts w:hint="default"/>
                <w:lang w:val="en-US" w:eastAsia="zh-CN"/>
              </w:rPr>
            </w:pPr>
            <w:r>
              <w:rPr>
                <w:rFonts w:hint="default"/>
                <w:lang w:val="en-US" w:eastAsia="zh-CN"/>
              </w:rPr>
              <w:t>1 可再循环材料和可再利用材料用量比例，按下列规则评分：</w:t>
            </w:r>
          </w:p>
          <w:p>
            <w:pPr>
              <w:rPr>
                <w:rFonts w:hint="default"/>
                <w:lang w:val="en-US" w:eastAsia="zh-CN"/>
              </w:rPr>
            </w:pPr>
            <w:r>
              <w:rPr>
                <w:rFonts w:hint="default"/>
                <w:lang w:val="en-US" w:eastAsia="zh-CN"/>
              </w:rPr>
              <w:t>1) 住宅建筑达到6% 或公共建筑达到10%,得3分。</w:t>
            </w:r>
          </w:p>
          <w:p>
            <w:pPr>
              <w:rPr>
                <w:rFonts w:hint="default"/>
                <w:lang w:val="en-US" w:eastAsia="zh-CN"/>
              </w:rPr>
            </w:pPr>
            <w:r>
              <w:rPr>
                <w:rFonts w:hint="default"/>
                <w:lang w:val="en-US" w:eastAsia="zh-CN"/>
              </w:rPr>
              <w:t>2) 住宅建筑达到10% 或公共建筑达到15%,得6分。</w:t>
            </w:r>
          </w:p>
          <w:p>
            <w:pPr>
              <w:rPr>
                <w:rFonts w:hint="default"/>
                <w:lang w:val="en-US" w:eastAsia="zh-CN"/>
              </w:rPr>
            </w:pPr>
            <w:r>
              <w:rPr>
                <w:rFonts w:hint="default"/>
                <w:lang w:val="en-US" w:eastAsia="zh-CN"/>
              </w:rPr>
              <w:t>2 利废建材选用及其用量比例，按下列规则评分：</w:t>
            </w:r>
          </w:p>
          <w:p>
            <w:pPr>
              <w:rPr>
                <w:rFonts w:hint="default"/>
                <w:lang w:val="en-US" w:eastAsia="zh-CN"/>
              </w:rPr>
            </w:pPr>
            <w:r>
              <w:rPr>
                <w:rFonts w:hint="default"/>
                <w:lang w:val="en-US" w:eastAsia="zh-CN"/>
              </w:rPr>
              <w:t>1) 采用一种利废建材，其占同类建材的用量比例不低千</w:t>
            </w:r>
          </w:p>
          <w:p>
            <w:pPr>
              <w:rPr>
                <w:rFonts w:hint="default"/>
                <w:lang w:val="en-US" w:eastAsia="zh-CN"/>
              </w:rPr>
            </w:pPr>
            <w:r>
              <w:rPr>
                <w:rFonts w:hint="default"/>
                <w:lang w:val="en-US" w:eastAsia="zh-CN"/>
              </w:rPr>
              <w:t>50%,得3分。</w:t>
            </w:r>
          </w:p>
          <w:p>
            <w:pPr>
              <w:rPr>
                <w:rFonts w:hint="default"/>
                <w:lang w:val="en-US" w:eastAsia="zh-CN"/>
              </w:rPr>
            </w:pPr>
            <w:r>
              <w:rPr>
                <w:rFonts w:hint="default"/>
                <w:lang w:val="en-US" w:eastAsia="zh-CN"/>
              </w:rPr>
              <w:t>2) 选用两种及以上的利废建材，每一种占同类建材的用</w:t>
            </w:r>
          </w:p>
          <w:p>
            <w:pPr>
              <w:rPr>
                <w:rFonts w:hint="default"/>
                <w:lang w:val="en-US" w:eastAsia="zh-CN"/>
              </w:rPr>
            </w:pPr>
            <w:r>
              <w:rPr>
                <w:rFonts w:hint="default"/>
                <w:lang w:val="en-US" w:eastAsia="zh-CN"/>
              </w:rPr>
              <w:t>量比例均不低于30%,得6分。</w:t>
            </w:r>
          </w:p>
        </w:tc>
        <w:tc>
          <w:tcPr>
            <w:tcW w:w="3713" w:type="dxa"/>
            <w:vAlign w:val="center"/>
          </w:tcPr>
          <w:p>
            <w:pPr>
              <w:rPr>
                <w:rFonts w:hint="default"/>
                <w:lang w:val="en-US" w:eastAsia="zh-CN"/>
              </w:rPr>
            </w:pPr>
            <w:r>
              <w:rPr>
                <w:rFonts w:hint="default"/>
                <w:lang w:val="en-US" w:eastAsia="zh-CN"/>
              </w:rPr>
              <w:t>□工程材料进出场记录</w:t>
            </w:r>
          </w:p>
          <w:p>
            <w:pPr>
              <w:rPr>
                <w:rFonts w:hint="default"/>
                <w:lang w:val="en-US" w:eastAsia="zh-CN"/>
              </w:rPr>
            </w:pPr>
            <w:r>
              <w:rPr>
                <w:rFonts w:hint="default"/>
                <w:lang w:val="en-US" w:eastAsia="zh-CN"/>
              </w:rPr>
              <w:t>□可再利用材料和可再循环材料使用比例计算书</w:t>
            </w:r>
          </w:p>
          <w:p>
            <w:pPr>
              <w:rPr>
                <w:rFonts w:hint="default"/>
                <w:lang w:val="en-US" w:eastAsia="zh-CN"/>
              </w:rPr>
            </w:pPr>
            <w:r>
              <w:rPr>
                <w:rFonts w:hint="default"/>
                <w:lang w:val="en-US" w:eastAsia="zh-CN"/>
              </w:rPr>
              <w:t>□利废建材使用比例计算书</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7.2.18</w:t>
            </w:r>
          </w:p>
        </w:tc>
        <w:tc>
          <w:tcPr>
            <w:tcW w:w="4412" w:type="dxa"/>
            <w:vAlign w:val="center"/>
          </w:tcPr>
          <w:p>
            <w:pPr>
              <w:rPr>
                <w:rFonts w:hint="default"/>
                <w:lang w:val="en-US" w:eastAsia="zh-CN"/>
              </w:rPr>
            </w:pPr>
            <w:r>
              <w:rPr>
                <w:rFonts w:hint="default"/>
                <w:lang w:val="en-US" w:eastAsia="zh-CN"/>
              </w:rPr>
              <w:t>选用绿色建材，评价总分值为12分。绿色建材应用比例不低于30%，得4分；不低于50%，得8分；不低于70%，得12分。</w:t>
            </w:r>
          </w:p>
        </w:tc>
        <w:tc>
          <w:tcPr>
            <w:tcW w:w="3713" w:type="dxa"/>
            <w:vAlign w:val="center"/>
          </w:tcPr>
          <w:p>
            <w:pPr>
              <w:rPr>
                <w:rFonts w:hint="default"/>
                <w:lang w:val="en-US" w:eastAsia="zh-CN"/>
              </w:rPr>
            </w:pPr>
            <w:r>
              <w:rPr>
                <w:rFonts w:hint="default"/>
                <w:lang w:val="en-US" w:eastAsia="zh-CN"/>
              </w:rPr>
              <w:t>□工程材料进出场记录</w:t>
            </w:r>
          </w:p>
          <w:p>
            <w:pPr>
              <w:rPr>
                <w:rFonts w:hint="default"/>
                <w:lang w:val="en-US" w:eastAsia="zh-CN"/>
              </w:rPr>
            </w:pPr>
            <w:r>
              <w:rPr>
                <w:rFonts w:hint="default"/>
                <w:lang w:val="en-US" w:eastAsia="zh-CN"/>
              </w:rPr>
              <w:t>□绿色建材使用比例计算书</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9.2.2</w:t>
            </w:r>
          </w:p>
        </w:tc>
        <w:tc>
          <w:tcPr>
            <w:tcW w:w="4412" w:type="dxa"/>
            <w:vAlign w:val="center"/>
          </w:tcPr>
          <w:p>
            <w:pPr>
              <w:rPr>
                <w:rFonts w:hint="default"/>
                <w:lang w:val="en-US" w:eastAsia="zh-CN"/>
              </w:rPr>
            </w:pPr>
            <w:r>
              <w:rPr>
                <w:rFonts w:hint="default"/>
                <w:lang w:val="en-US" w:eastAsia="zh-CN"/>
              </w:rPr>
              <w:t>合理选用废弃场地进行建设，或充分利用尚可使用的旧建筑，评价分值为8 分。</w:t>
            </w:r>
          </w:p>
        </w:tc>
        <w:tc>
          <w:tcPr>
            <w:tcW w:w="3713" w:type="dxa"/>
            <w:vAlign w:val="center"/>
          </w:tcPr>
          <w:p>
            <w:pPr>
              <w:rPr>
                <w:rFonts w:hint="default"/>
                <w:lang w:val="en-US" w:eastAsia="zh-CN"/>
              </w:rPr>
            </w:pPr>
            <w:r>
              <w:rPr>
                <w:rFonts w:hint="default"/>
                <w:lang w:val="en-US" w:eastAsia="zh-CN"/>
              </w:rPr>
              <w:t>□相关设计专项分析论证报告</w:t>
            </w:r>
          </w:p>
          <w:p>
            <w:pPr>
              <w:rPr>
                <w:rFonts w:hint="default"/>
                <w:lang w:val="en-US" w:eastAsia="zh-CN"/>
              </w:rPr>
            </w:pPr>
            <w:r>
              <w:rPr>
                <w:rFonts w:hint="default"/>
                <w:lang w:val="en-US" w:eastAsia="zh-CN"/>
              </w:rPr>
              <w:t>□现场核查</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9.2.3</w:t>
            </w:r>
          </w:p>
        </w:tc>
        <w:tc>
          <w:tcPr>
            <w:tcW w:w="4412" w:type="dxa"/>
            <w:vAlign w:val="center"/>
          </w:tcPr>
          <w:p>
            <w:pPr>
              <w:rPr>
                <w:rFonts w:hint="default"/>
                <w:lang w:val="en-US" w:eastAsia="zh-CN"/>
              </w:rPr>
            </w:pPr>
            <w:r>
              <w:rPr>
                <w:rFonts w:hint="default"/>
                <w:lang w:val="en-US" w:eastAsia="zh-CN"/>
              </w:rPr>
              <w:t>合理选用废弃场地进行建设，或充分利用尚可使用的旧建筑，评价分值为8 分。</w:t>
            </w:r>
          </w:p>
        </w:tc>
        <w:tc>
          <w:tcPr>
            <w:tcW w:w="3713" w:type="dxa"/>
            <w:vAlign w:val="center"/>
          </w:tcPr>
          <w:p>
            <w:pPr>
              <w:rPr>
                <w:rFonts w:hint="default"/>
                <w:lang w:val="en-US" w:eastAsia="zh-CN"/>
              </w:rPr>
            </w:pPr>
            <w:r>
              <w:rPr>
                <w:rFonts w:hint="default"/>
                <w:lang w:val="en-US" w:eastAsia="zh-CN"/>
              </w:rPr>
              <w:t>□废弃场地利用专项报告</w:t>
            </w:r>
          </w:p>
          <w:p>
            <w:pPr>
              <w:rPr>
                <w:rFonts w:hint="default"/>
                <w:lang w:val="en-US" w:eastAsia="zh-CN"/>
              </w:rPr>
            </w:pPr>
            <w:r>
              <w:rPr>
                <w:rFonts w:hint="default"/>
                <w:lang w:val="en-US" w:eastAsia="zh-CN"/>
              </w:rPr>
              <w:t>□旧建筑利用专项报告</w:t>
            </w:r>
          </w:p>
          <w:p>
            <w:pPr>
              <w:rPr>
                <w:rFonts w:hint="default"/>
                <w:lang w:val="en-US" w:eastAsia="zh-CN"/>
              </w:rPr>
            </w:pPr>
            <w:r>
              <w:rPr>
                <w:rFonts w:hint="default"/>
                <w:lang w:val="en-US" w:eastAsia="zh-CN"/>
              </w:rPr>
              <w:t>□现场核查</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9.2.5</w:t>
            </w:r>
          </w:p>
        </w:tc>
        <w:tc>
          <w:tcPr>
            <w:tcW w:w="4412" w:type="dxa"/>
            <w:vAlign w:val="center"/>
          </w:tcPr>
          <w:p>
            <w:pPr>
              <w:rPr>
                <w:rFonts w:hint="default"/>
                <w:lang w:val="en-US" w:eastAsia="zh-CN"/>
              </w:rPr>
            </w:pPr>
            <w:r>
              <w:rPr>
                <w:rFonts w:hint="default"/>
                <w:lang w:val="en-US" w:eastAsia="zh-CN"/>
              </w:rPr>
              <w:t>采用符合工业化建造要求的结构体系与建筑构件，评价分值为10分，并按下列规则评分：</w:t>
            </w:r>
          </w:p>
          <w:p>
            <w:pPr>
              <w:rPr>
                <w:rFonts w:hint="default"/>
                <w:lang w:val="en-US" w:eastAsia="zh-CN"/>
              </w:rPr>
            </w:pPr>
            <w:r>
              <w:rPr>
                <w:rFonts w:hint="default"/>
                <w:lang w:val="en-US" w:eastAsia="zh-CN"/>
              </w:rPr>
              <w:t>主体结构采用钢结构、木结构，得10分；</w:t>
            </w:r>
          </w:p>
          <w:p>
            <w:pPr>
              <w:rPr>
                <w:rFonts w:hint="default"/>
                <w:lang w:val="en-US" w:eastAsia="zh-CN"/>
              </w:rPr>
            </w:pPr>
            <w:r>
              <w:rPr>
                <w:rFonts w:hint="default"/>
                <w:lang w:val="en-US" w:eastAsia="zh-CN"/>
              </w:rPr>
              <w:t>主体结构采用装配式混凝土结构，地上部分预制构件应用混凝土体积占混凝土总体积的比例达到35%，得5分；达到50%，得10分。</w:t>
            </w:r>
          </w:p>
        </w:tc>
        <w:tc>
          <w:tcPr>
            <w:tcW w:w="3713"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□相关计算书</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得分：</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9.2.8</w:t>
            </w:r>
          </w:p>
        </w:tc>
        <w:tc>
          <w:tcPr>
            <w:tcW w:w="4412" w:type="dxa"/>
            <w:vAlign w:val="center"/>
          </w:tcPr>
          <w:p>
            <w:pPr>
              <w:rPr>
                <w:rFonts w:hint="default"/>
                <w:lang w:val="en-US" w:eastAsia="zh-CN"/>
              </w:rPr>
            </w:pPr>
            <w:r>
              <w:rPr>
                <w:rFonts w:hint="default"/>
                <w:lang w:val="en-US" w:eastAsia="zh-CN"/>
              </w:rPr>
              <w:t>按照绿色施工的要求进行施工和管理，评价总分值为20分，并按下列规则分别评分并累计：</w:t>
            </w:r>
          </w:p>
          <w:p>
            <w:pPr>
              <w:rPr>
                <w:rFonts w:hint="default"/>
                <w:lang w:val="en-US" w:eastAsia="zh-CN"/>
              </w:rPr>
            </w:pPr>
            <w:r>
              <w:rPr>
                <w:rFonts w:hint="default"/>
                <w:lang w:val="en-US" w:eastAsia="zh-CN"/>
              </w:rPr>
              <w:t>1获得绿色施工优良等级或绿色施工示范工程认定，得8分；</w:t>
            </w:r>
          </w:p>
          <w:p>
            <w:pPr>
              <w:rPr>
                <w:rFonts w:hint="default"/>
                <w:lang w:val="en-US" w:eastAsia="zh-CN"/>
              </w:rPr>
            </w:pPr>
            <w:r>
              <w:rPr>
                <w:rFonts w:hint="default"/>
                <w:lang w:val="en-US" w:eastAsia="zh-CN"/>
              </w:rPr>
              <w:t>2采取措施减少预拌混凝土损耗，损耗率降低至1.0％，得4分；</w:t>
            </w:r>
          </w:p>
          <w:p>
            <w:pPr>
              <w:rPr>
                <w:rFonts w:hint="default"/>
                <w:lang w:val="en-US" w:eastAsia="zh-CN"/>
              </w:rPr>
            </w:pPr>
            <w:r>
              <w:rPr>
                <w:rFonts w:hint="default"/>
                <w:lang w:val="en-US" w:eastAsia="zh-CN"/>
              </w:rPr>
              <w:t>3采取措施减少现场加工钢筋损耗，损耗率降低至1.5％，得4分；</w:t>
            </w:r>
          </w:p>
          <w:p>
            <w:pPr>
              <w:rPr>
                <w:rFonts w:hint="default"/>
                <w:lang w:val="en-US" w:eastAsia="zh-CN"/>
              </w:rPr>
            </w:pPr>
            <w:r>
              <w:rPr>
                <w:rFonts w:hint="default"/>
                <w:lang w:val="en-US" w:eastAsia="zh-CN"/>
              </w:rPr>
              <w:t>4现浇混凝土构件釆用铝模等免墙面粉刷的模板体系，4分。</w:t>
            </w:r>
          </w:p>
        </w:tc>
        <w:tc>
          <w:tcPr>
            <w:tcW w:w="3713" w:type="dxa"/>
            <w:vAlign w:val="center"/>
          </w:tcPr>
          <w:p>
            <w:pPr>
              <w:rPr>
                <w:rFonts w:hint="default"/>
                <w:lang w:val="en-US" w:eastAsia="zh-CN"/>
              </w:rPr>
            </w:pPr>
            <w:r>
              <w:rPr>
                <w:rFonts w:hint="default"/>
                <w:lang w:val="en-US" w:eastAsia="zh-CN"/>
              </w:rPr>
              <w:t>□证书或认定文件</w:t>
            </w:r>
          </w:p>
          <w:p>
            <w:pPr>
              <w:rPr>
                <w:rFonts w:hint="default"/>
                <w:lang w:val="en-US" w:eastAsia="zh-CN"/>
              </w:rPr>
            </w:pPr>
            <w:r>
              <w:rPr>
                <w:rFonts w:hint="default"/>
                <w:lang w:val="en-US" w:eastAsia="zh-CN"/>
              </w:rPr>
              <w:t>□施工方案和过程控制、图片</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2" w:type="dxa"/>
            <w:vMerge w:val="continue"/>
            <w:vAlign w:val="center"/>
          </w:tcPr>
          <w:p>
            <w:pPr>
              <w:rPr>
                <w:rFonts w:hint="default"/>
                <w:lang w:val="en-US" w:eastAsia="zh-CN"/>
              </w:rPr>
            </w:pPr>
          </w:p>
        </w:tc>
        <w:tc>
          <w:tcPr>
            <w:tcW w:w="1088" w:type="dxa"/>
            <w:vAlign w:val="center"/>
          </w:tcPr>
          <w:p>
            <w:pPr>
              <w:rPr>
                <w:rFonts w:hint="default"/>
                <w:lang w:val="en-US" w:eastAsia="zh-CN"/>
              </w:rPr>
            </w:pPr>
            <w:r>
              <w:rPr>
                <w:rFonts w:hint="default"/>
                <w:lang w:val="en-US" w:eastAsia="zh-CN"/>
              </w:rPr>
              <w:t>9.2.9</w:t>
            </w:r>
          </w:p>
        </w:tc>
        <w:tc>
          <w:tcPr>
            <w:tcW w:w="4412" w:type="dxa"/>
            <w:vAlign w:val="center"/>
          </w:tcPr>
          <w:p>
            <w:pPr>
              <w:rPr>
                <w:rFonts w:hint="default"/>
                <w:lang w:val="en-US" w:eastAsia="zh-CN"/>
              </w:rPr>
            </w:pPr>
            <w:r>
              <w:rPr>
                <w:rFonts w:hint="default"/>
                <w:lang w:val="en-US" w:eastAsia="zh-CN"/>
              </w:rPr>
              <w:t>采用建设工程质量潜在缺陷保险产品，评价总分值为20分，并按下列规则分别评分并累计：</w:t>
            </w:r>
          </w:p>
          <w:p>
            <w:pPr>
              <w:rPr>
                <w:rFonts w:hint="default"/>
                <w:lang w:val="en-US" w:eastAsia="zh-CN"/>
              </w:rPr>
            </w:pPr>
            <w:r>
              <w:rPr>
                <w:rFonts w:hint="default"/>
                <w:lang w:val="en-US" w:eastAsia="zh-CN"/>
              </w:rPr>
              <w:t>保险承包范围包括地基基础工程、主体结构工程、屋面防水工程和其他土建工程的质量问题，得10分；</w:t>
            </w:r>
          </w:p>
          <w:p>
            <w:pPr>
              <w:rPr>
                <w:rFonts w:hint="default"/>
                <w:lang w:val="en-US" w:eastAsia="zh-CN"/>
              </w:rPr>
            </w:pPr>
            <w:r>
              <w:rPr>
                <w:rFonts w:hint="default"/>
                <w:lang w:val="en-US" w:eastAsia="zh-CN"/>
              </w:rPr>
              <w:t>保险承保范围包括装修工程、电气管线、上下水管线的安装工程，供热、供冷系统工程的质量问题，得10分。</w:t>
            </w:r>
          </w:p>
        </w:tc>
        <w:tc>
          <w:tcPr>
            <w:tcW w:w="3713" w:type="dxa"/>
            <w:vAlign w:val="center"/>
          </w:tcPr>
          <w:p>
            <w:pPr>
              <w:rPr>
                <w:rFonts w:hint="default"/>
                <w:lang w:val="en-US" w:eastAsia="zh-CN"/>
              </w:rPr>
            </w:pPr>
            <w:r>
              <w:rPr>
                <w:rFonts w:hint="default"/>
                <w:lang w:val="en-US" w:eastAsia="zh-CN"/>
              </w:rPr>
              <w:t>□建筑工程质量保险产品保单</w:t>
            </w:r>
          </w:p>
        </w:tc>
        <w:tc>
          <w:tcPr>
            <w:tcW w:w="1612" w:type="dxa"/>
            <w:vAlign w:val="center"/>
          </w:tcPr>
          <w:p>
            <w:pPr>
              <w:rPr>
                <w:rFonts w:hint="default"/>
                <w:lang w:val="en-US" w:eastAsia="zh-CN"/>
              </w:rPr>
            </w:pPr>
            <w:r>
              <w:rPr>
                <w:rFonts w:hint="default"/>
                <w:lang w:val="en-US" w:eastAsia="zh-CN"/>
              </w:rPr>
              <w:t>得分：</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3112" w:type="dxa"/>
            <w:gridSpan w:val="6"/>
            <w:vAlign w:val="center"/>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p>
          <w:p>
            <w:pPr>
              <w:rPr>
                <w:rFonts w:hint="default"/>
                <w:lang w:val="en-US" w:eastAsia="zh-CN"/>
              </w:rPr>
            </w:pPr>
            <w:r>
              <w:rPr>
                <w:rFonts w:hint="default"/>
                <w:lang w:val="en-US" w:eastAsia="zh-CN"/>
              </w:rPr>
              <w:t>日期：</w:t>
            </w:r>
          </w:p>
          <w:p>
            <w:pPr>
              <w:rPr>
                <w:rFonts w:hint="default"/>
                <w:lang w:val="en-US" w:eastAsia="zh-CN"/>
              </w:rPr>
            </w:pPr>
          </w:p>
        </w:tc>
      </w:tr>
    </w:tbl>
    <w:p>
      <w:pPr>
        <w:jc w:val="center"/>
        <w:rPr>
          <w:rFonts w:hint="default"/>
          <w:sz w:val="24"/>
          <w:szCs w:val="32"/>
          <w:lang w:val="en-US" w:eastAsia="zh-CN"/>
        </w:rPr>
      </w:pPr>
    </w:p>
    <w:p>
      <w:pPr>
        <w:jc w:val="center"/>
        <w:rPr>
          <w:rFonts w:hint="default"/>
          <w:sz w:val="22"/>
          <w:szCs w:val="28"/>
          <w:lang w:val="en-US" w:eastAsia="zh-CN"/>
        </w:rPr>
      </w:pPr>
      <w:r>
        <w:rPr>
          <w:rFonts w:hint="default"/>
          <w:sz w:val="28"/>
          <w:szCs w:val="36"/>
          <w:lang w:val="en-US" w:eastAsia="zh-CN"/>
        </w:rPr>
        <w:t>绿色建筑工程验收专家评审意见表——建筑装饰装修</w:t>
      </w:r>
    </w:p>
    <w:tbl>
      <w:tblPr>
        <w:tblStyle w:val="2"/>
        <w:tblW w:w="13113"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13"/>
        <w:gridCol w:w="4387"/>
        <w:gridCol w:w="3738"/>
        <w:gridCol w:w="16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rPr>
                <w:rFonts w:hint="default"/>
                <w:lang w:val="en-US" w:eastAsia="zh-CN"/>
              </w:rPr>
            </w:pPr>
            <w:r>
              <w:rPr>
                <w:rFonts w:hint="default"/>
                <w:lang w:val="en-US" w:eastAsia="zh-CN"/>
              </w:rPr>
              <w:t>类别</w:t>
            </w:r>
          </w:p>
        </w:tc>
        <w:tc>
          <w:tcPr>
            <w:tcW w:w="1113" w:type="dxa"/>
            <w:vAlign w:val="center"/>
          </w:tcPr>
          <w:p>
            <w:pPr>
              <w:rPr>
                <w:rFonts w:hint="default"/>
                <w:lang w:val="en-US" w:eastAsia="zh-CN"/>
              </w:rPr>
            </w:pPr>
            <w:r>
              <w:rPr>
                <w:rFonts w:hint="default"/>
                <w:lang w:val="en-US" w:eastAsia="zh-CN"/>
              </w:rPr>
              <w:t>评价标准条文编号</w:t>
            </w:r>
          </w:p>
        </w:tc>
        <w:tc>
          <w:tcPr>
            <w:tcW w:w="4387" w:type="dxa"/>
            <w:vAlign w:val="center"/>
          </w:tcPr>
          <w:p>
            <w:pPr>
              <w:rPr>
                <w:rFonts w:hint="default"/>
                <w:lang w:val="en-US" w:eastAsia="zh-CN"/>
              </w:rPr>
            </w:pPr>
            <w:r>
              <w:rPr>
                <w:rFonts w:hint="default"/>
                <w:lang w:val="en-US" w:eastAsia="zh-CN"/>
              </w:rPr>
              <w:t>条文内容及分值</w:t>
            </w:r>
          </w:p>
        </w:tc>
        <w:tc>
          <w:tcPr>
            <w:tcW w:w="3738" w:type="dxa"/>
            <w:vAlign w:val="center"/>
          </w:tcPr>
          <w:p>
            <w:pPr>
              <w:rPr>
                <w:rFonts w:hint="default"/>
                <w:lang w:val="en-US" w:eastAsia="zh-CN"/>
              </w:rPr>
            </w:pPr>
            <w:r>
              <w:rPr>
                <w:rFonts w:hint="default"/>
                <w:lang w:val="en-US" w:eastAsia="zh-CN"/>
              </w:rPr>
              <w:t>证明文件</w:t>
            </w:r>
          </w:p>
        </w:tc>
        <w:tc>
          <w:tcPr>
            <w:tcW w:w="1600" w:type="dxa"/>
            <w:vAlign w:val="center"/>
          </w:tcPr>
          <w:p>
            <w:pPr>
              <w:rPr>
                <w:rFonts w:hint="default"/>
                <w:lang w:val="en-US" w:eastAsia="zh-CN"/>
              </w:rPr>
            </w:pPr>
            <w:r>
              <w:rPr>
                <w:rFonts w:hint="default"/>
                <w:lang w:val="en-US" w:eastAsia="zh-CN"/>
              </w:rPr>
              <w:t>评审结果</w:t>
            </w:r>
          </w:p>
        </w:tc>
        <w:tc>
          <w:tcPr>
            <w:tcW w:w="1325"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0" w:type="dxa"/>
            <w:vMerge w:val="restart"/>
            <w:vAlign w:val="center"/>
          </w:tcPr>
          <w:p>
            <w:pPr>
              <w:rPr>
                <w:rFonts w:hint="default"/>
                <w:lang w:val="en-US" w:eastAsia="zh-CN"/>
              </w:rPr>
            </w:pPr>
            <w:r>
              <w:rPr>
                <w:rFonts w:hint="default"/>
                <w:lang w:val="en-US" w:eastAsia="zh-CN"/>
              </w:rPr>
              <w:t>控制项</w:t>
            </w:r>
          </w:p>
        </w:tc>
        <w:tc>
          <w:tcPr>
            <w:tcW w:w="1113" w:type="dxa"/>
            <w:vAlign w:val="center"/>
          </w:tcPr>
          <w:p>
            <w:pPr>
              <w:rPr>
                <w:rFonts w:hint="default"/>
                <w:lang w:val="en-US" w:eastAsia="zh-CN"/>
              </w:rPr>
            </w:pPr>
            <w:r>
              <w:rPr>
                <w:rFonts w:hint="default"/>
                <w:lang w:val="en-US" w:eastAsia="zh-CN"/>
              </w:rPr>
              <w:t>4.1.5</w:t>
            </w:r>
          </w:p>
        </w:tc>
        <w:tc>
          <w:tcPr>
            <w:tcW w:w="4387" w:type="dxa"/>
            <w:vAlign w:val="center"/>
          </w:tcPr>
          <w:p>
            <w:pPr>
              <w:rPr>
                <w:rFonts w:hint="default"/>
                <w:lang w:val="en-US" w:eastAsia="zh-CN"/>
              </w:rPr>
            </w:pPr>
            <w:r>
              <w:rPr>
                <w:rFonts w:hint="default"/>
                <w:lang w:val="en-US" w:eastAsia="zh-CN"/>
              </w:rPr>
              <w:t>建筑外门窗必须安装牢固，其抗风压性能和水密性能应《塑料门窗工程技术规程》JGJ103、《铝合金门窗工程技术规范》JGJ214规定</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□门窗产品三性检测报告和外窗现场三性检测报告</w:t>
            </w:r>
          </w:p>
          <w:p>
            <w:pPr>
              <w:rPr>
                <w:rFonts w:hint="default"/>
                <w:lang w:val="en-US" w:eastAsia="zh-CN"/>
              </w:rPr>
            </w:pPr>
            <w:r>
              <w:rPr>
                <w:rFonts w:hint="default"/>
                <w:lang w:val="en-US" w:eastAsia="zh-CN"/>
              </w:rPr>
              <w:t>□施工工法说明文件</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4.1.6</w:t>
            </w:r>
          </w:p>
        </w:tc>
        <w:tc>
          <w:tcPr>
            <w:tcW w:w="4387" w:type="dxa"/>
            <w:vAlign w:val="center"/>
          </w:tcPr>
          <w:p>
            <w:pPr>
              <w:rPr>
                <w:rFonts w:hint="default"/>
                <w:lang w:val="en-US" w:eastAsia="zh-CN"/>
              </w:rPr>
            </w:pPr>
            <w:r>
              <w:rPr>
                <w:rFonts w:hint="default"/>
                <w:lang w:val="en-US" w:eastAsia="zh-CN"/>
              </w:rPr>
              <w:t>卫生间、浴室的地面应设置防水层，墙面、顶棚应设置防潮层</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□防水和防潮措施说明，产品合格证等质量证明文件</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4.1.7</w:t>
            </w:r>
          </w:p>
        </w:tc>
        <w:tc>
          <w:tcPr>
            <w:tcW w:w="4387" w:type="dxa"/>
            <w:vAlign w:val="center"/>
          </w:tcPr>
          <w:p>
            <w:pPr>
              <w:rPr>
                <w:rFonts w:hint="default"/>
                <w:lang w:val="en-US" w:eastAsia="zh-CN"/>
              </w:rPr>
            </w:pPr>
            <w:r>
              <w:rPr>
                <w:rFonts w:hint="default"/>
                <w:lang w:val="en-US" w:eastAsia="zh-CN"/>
              </w:rPr>
              <w:t>走廊、疏散通道等通行空间应满足紧急疏散、应急救护等要求，且应保持畅通</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□相关管理规定</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4.1.8</w:t>
            </w:r>
          </w:p>
        </w:tc>
        <w:tc>
          <w:tcPr>
            <w:tcW w:w="4387" w:type="dxa"/>
            <w:vAlign w:val="center"/>
          </w:tcPr>
          <w:p>
            <w:pPr>
              <w:rPr>
                <w:rFonts w:hint="default"/>
                <w:lang w:val="en-US" w:eastAsia="zh-CN"/>
              </w:rPr>
            </w:pPr>
            <w:r>
              <w:rPr>
                <w:rFonts w:hint="default"/>
                <w:lang w:val="en-US" w:eastAsia="zh-CN"/>
              </w:rPr>
              <w:t>应具有安全防护的警示和引导标示系统</w:t>
            </w:r>
          </w:p>
        </w:tc>
        <w:tc>
          <w:tcPr>
            <w:tcW w:w="3738" w:type="dxa"/>
            <w:vAlign w:val="center"/>
          </w:tcPr>
          <w:p>
            <w:pPr>
              <w:rPr>
                <w:rFonts w:hint="default"/>
                <w:lang w:val="en-US" w:eastAsia="zh-CN"/>
              </w:rPr>
            </w:pPr>
            <w:r>
              <w:rPr>
                <w:rFonts w:hint="default"/>
                <w:lang w:val="en-US" w:eastAsia="zh-CN"/>
              </w:rPr>
              <w:t>□标识系统设计与设置说明文件</w:t>
            </w:r>
          </w:p>
          <w:p>
            <w:pPr>
              <w:rPr>
                <w:rFonts w:hint="default"/>
                <w:lang w:val="en-US" w:eastAsia="zh-CN"/>
              </w:rPr>
            </w:pPr>
            <w:r>
              <w:rPr>
                <w:rFonts w:hint="default"/>
                <w:lang w:val="en-US" w:eastAsia="zh-CN"/>
              </w:rPr>
              <w:t>□相关影像材料</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5.1.1 </w:t>
            </w:r>
          </w:p>
        </w:tc>
        <w:tc>
          <w:tcPr>
            <w:tcW w:w="4387" w:type="dxa"/>
            <w:vAlign w:val="center"/>
          </w:tcPr>
          <w:p>
            <w:pPr>
              <w:rPr>
                <w:rFonts w:hint="default"/>
                <w:lang w:val="en-US" w:eastAsia="zh-CN"/>
              </w:rPr>
            </w:pPr>
            <w:r>
              <w:rPr>
                <w:rFonts w:hint="default"/>
                <w:lang w:val="en-US" w:eastAsia="zh-CN"/>
              </w:rPr>
              <w:t>室内空气中的氨、甲醛、苯、总挥发性有机物、氡等污染物浓度应符合现行国家标准《室内空气质量标准》GB/T 18883的有关规定。建筑室内和建筑主出入口处应禁止吸烟，并应在醒目位置设置禁烟标志。</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□相关说明文件（装修材料种类、用量，禁止吸烟措施）</w:t>
            </w:r>
          </w:p>
          <w:p>
            <w:pPr>
              <w:rPr>
                <w:rFonts w:hint="default"/>
                <w:lang w:val="en-US" w:eastAsia="zh-CN"/>
              </w:rPr>
            </w:pPr>
            <w:r>
              <w:rPr>
                <w:rFonts w:hint="default"/>
                <w:lang w:val="en-US" w:eastAsia="zh-CN"/>
              </w:rPr>
              <w:t>□预评估分析报告，□室内空气质量检测报告</w:t>
            </w:r>
          </w:p>
          <w:p>
            <w:pPr>
              <w:rPr>
                <w:rFonts w:hint="default"/>
                <w:lang w:val="en-US" w:eastAsia="zh-CN"/>
              </w:rPr>
            </w:pPr>
            <w:r>
              <w:rPr>
                <w:rFonts w:hint="default"/>
                <w:lang w:val="en-US" w:eastAsia="zh-CN"/>
              </w:rPr>
              <w:t>□禁烟标志</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5.1.2 </w:t>
            </w:r>
          </w:p>
        </w:tc>
        <w:tc>
          <w:tcPr>
            <w:tcW w:w="4387" w:type="dxa"/>
            <w:vAlign w:val="center"/>
          </w:tcPr>
          <w:p>
            <w:pPr>
              <w:rPr>
                <w:rFonts w:hint="default"/>
                <w:lang w:val="en-US" w:eastAsia="zh-CN"/>
              </w:rPr>
            </w:pPr>
            <w:r>
              <w:rPr>
                <w:rFonts w:hint="default"/>
                <w:lang w:val="en-US" w:eastAsia="zh-CN"/>
              </w:rPr>
              <w:t>应采取措施避免厨房、餐厅、打印复印室、卫生间、地下车库等区域的空气和污染物串通到其他空间；应防止厨房、卫生间的排气倒灌。</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□气流组织模拟分析报告</w:t>
            </w:r>
          </w:p>
          <w:p>
            <w:pPr>
              <w:rPr>
                <w:rFonts w:hint="default"/>
                <w:lang w:val="en-US" w:eastAsia="zh-CN"/>
              </w:rPr>
            </w:pPr>
            <w:r>
              <w:rPr>
                <w:rFonts w:hint="default"/>
                <w:lang w:val="en-US" w:eastAsia="zh-CN"/>
              </w:rPr>
              <w:t>□相关产品性能检测报告或质量合格证书</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5.1.4</w:t>
            </w:r>
          </w:p>
        </w:tc>
        <w:tc>
          <w:tcPr>
            <w:tcW w:w="4387" w:type="dxa"/>
            <w:vAlign w:val="center"/>
          </w:tcPr>
          <w:p>
            <w:pPr>
              <w:rPr>
                <w:rFonts w:hint="default"/>
                <w:lang w:val="en-US" w:eastAsia="zh-CN"/>
              </w:rPr>
            </w:pPr>
            <w:r>
              <w:rPr>
                <w:rFonts w:hint="default"/>
                <w:lang w:val="en-US" w:eastAsia="zh-CN"/>
              </w:rPr>
              <w:t>主要功能房间的室内噪声级和隔声性能应符合下列规定：</w:t>
            </w:r>
            <w:r>
              <w:rPr>
                <w:rFonts w:hint="default"/>
                <w:lang w:val="en-US" w:eastAsia="zh-CN"/>
              </w:rPr>
              <w:br w:type="textWrapping"/>
            </w:r>
            <w:r>
              <w:rPr>
                <w:rFonts w:hint="default"/>
                <w:lang w:val="en-US" w:eastAsia="zh-CN"/>
              </w:rPr>
              <w:t>1 室内噪声级应满足现行国家标准《民用建筑隔声设计规范》GB 50118中的低限要求；</w:t>
            </w:r>
            <w:r>
              <w:rPr>
                <w:rFonts w:hint="default"/>
                <w:lang w:val="en-US" w:eastAsia="zh-CN"/>
              </w:rPr>
              <w:br w:type="textWrapping"/>
            </w:r>
            <w:r>
              <w:rPr>
                <w:rFonts w:hint="default"/>
                <w:lang w:val="en-US" w:eastAsia="zh-CN"/>
              </w:rPr>
              <w:t>2 外墙、隔墙、楼板和门窗的隔声性能应满足现行国家标准《民用建筑隔声设计规范》GB 50118中的低限要求。</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□噪声分析报告</w:t>
            </w:r>
          </w:p>
          <w:p>
            <w:pPr>
              <w:rPr>
                <w:rFonts w:hint="default"/>
                <w:lang w:val="en-US" w:eastAsia="zh-CN"/>
              </w:rPr>
            </w:pPr>
            <w:r>
              <w:rPr>
                <w:rFonts w:hint="default"/>
                <w:lang w:val="en-US" w:eastAsia="zh-CN"/>
              </w:rPr>
              <w:t>□室内噪声级检测报告</w:t>
            </w:r>
          </w:p>
          <w:p>
            <w:pPr>
              <w:rPr>
                <w:rFonts w:hint="default"/>
                <w:lang w:val="en-US" w:eastAsia="zh-CN"/>
              </w:rPr>
            </w:pPr>
            <w:r>
              <w:rPr>
                <w:rFonts w:hint="default"/>
                <w:lang w:val="en-US" w:eastAsia="zh-CN"/>
              </w:rPr>
              <w:t>□构件隔声性能的现场检验报告</w:t>
            </w:r>
          </w:p>
          <w:p>
            <w:pPr>
              <w:rPr>
                <w:rFonts w:hint="default"/>
                <w:lang w:val="en-US" w:eastAsia="zh-CN"/>
              </w:rPr>
            </w:pPr>
            <w:r>
              <w:rPr>
                <w:rFonts w:hint="default"/>
                <w:lang w:val="en-US" w:eastAsia="zh-CN"/>
              </w:rPr>
              <w:t>□楼板撞击声隔声性能的现场检测报告</w:t>
            </w: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□一星级</w:t>
            </w:r>
          </w:p>
          <w:p>
            <w:pPr>
              <w:rPr>
                <w:rFonts w:hint="default"/>
                <w:lang w:val="en-US" w:eastAsia="zh-CN"/>
              </w:rPr>
            </w:pPr>
            <w:r>
              <w:rPr>
                <w:rFonts w:hint="default"/>
                <w:lang w:val="en-US" w:eastAsia="zh-CN"/>
              </w:rPr>
              <w:t>□二星级</w:t>
            </w:r>
          </w:p>
          <w:p>
            <w:pPr>
              <w:rPr>
                <w:rFonts w:hint="default"/>
                <w:lang w:val="en-US" w:eastAsia="zh-CN"/>
              </w:rPr>
            </w:pPr>
            <w:r>
              <w:rPr>
                <w:rFonts w:hint="default"/>
                <w:lang w:val="en-US" w:eastAsia="zh-CN"/>
              </w:rPr>
              <w:t>□三星级</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5.1.7</w:t>
            </w:r>
          </w:p>
        </w:tc>
        <w:tc>
          <w:tcPr>
            <w:tcW w:w="4387" w:type="dxa"/>
            <w:vAlign w:val="center"/>
          </w:tcPr>
          <w:p>
            <w:pPr>
              <w:rPr>
                <w:rFonts w:hint="default"/>
                <w:lang w:val="en-US" w:eastAsia="zh-CN"/>
              </w:rPr>
            </w:pPr>
            <w:r>
              <w:rPr>
                <w:rFonts w:hint="default"/>
                <w:lang w:val="en-US" w:eastAsia="zh-CN"/>
              </w:rPr>
              <w:t>围护结构热工性能应符合下列规定：</w:t>
            </w:r>
            <w:r>
              <w:rPr>
                <w:rFonts w:hint="default"/>
                <w:lang w:val="en-US" w:eastAsia="zh-CN"/>
              </w:rPr>
              <w:br w:type="textWrapping"/>
            </w:r>
            <w:r>
              <w:rPr>
                <w:rFonts w:hint="default"/>
                <w:lang w:val="en-US" w:eastAsia="zh-CN"/>
              </w:rPr>
              <w:t>1 在室内设计温度、湿度条件下，建筑非透光围护结构内表面不得结露；</w:t>
            </w:r>
            <w:r>
              <w:rPr>
                <w:rFonts w:hint="default"/>
                <w:lang w:val="en-US" w:eastAsia="zh-CN"/>
              </w:rPr>
              <w:br w:type="textWrapping"/>
            </w:r>
            <w:r>
              <w:rPr>
                <w:rFonts w:hint="default"/>
                <w:lang w:val="en-US" w:eastAsia="zh-CN"/>
              </w:rPr>
              <w:t>2 供暖建筑的屋面、外墙内部不应产生冷凝；</w:t>
            </w:r>
            <w:r>
              <w:rPr>
                <w:rFonts w:hint="default"/>
                <w:lang w:val="en-US" w:eastAsia="zh-CN"/>
              </w:rPr>
              <w:br w:type="textWrapping"/>
            </w:r>
            <w:r>
              <w:rPr>
                <w:rFonts w:hint="default"/>
                <w:lang w:val="en-US" w:eastAsia="zh-CN"/>
              </w:rPr>
              <w:t>3 屋顶和外墙隔热性能应满足现行国家标准《民用建筑热工设计规范》GB 50176的要求。</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□检查建筑构造与计算报告一致性</w:t>
            </w:r>
          </w:p>
          <w:p>
            <w:pPr>
              <w:rPr>
                <w:rFonts w:hint="default"/>
                <w:lang w:val="en-US" w:eastAsia="zh-CN"/>
              </w:rPr>
            </w:pPr>
          </w:p>
        </w:tc>
        <w:tc>
          <w:tcPr>
            <w:tcW w:w="1600"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0" w:type="dxa"/>
            <w:vMerge w:val="restart"/>
            <w:vAlign w:val="center"/>
          </w:tcPr>
          <w:p>
            <w:pPr>
              <w:rPr>
                <w:rFonts w:hint="default"/>
                <w:lang w:val="en-US" w:eastAsia="zh-CN"/>
              </w:rPr>
            </w:pPr>
            <w:r>
              <w:rPr>
                <w:rFonts w:hint="default"/>
                <w:lang w:val="en-US" w:eastAsia="zh-CN"/>
              </w:rPr>
              <w:t>评分项</w:t>
            </w:r>
          </w:p>
        </w:tc>
        <w:tc>
          <w:tcPr>
            <w:tcW w:w="1113" w:type="dxa"/>
            <w:vAlign w:val="center"/>
          </w:tcPr>
          <w:p>
            <w:pPr>
              <w:rPr>
                <w:rFonts w:hint="default"/>
                <w:lang w:val="en-US" w:eastAsia="zh-CN"/>
              </w:rPr>
            </w:pPr>
            <w:r>
              <w:rPr>
                <w:rFonts w:hint="default"/>
                <w:lang w:val="en-US" w:eastAsia="zh-CN"/>
              </w:rPr>
              <w:t>4.2.2</w:t>
            </w:r>
          </w:p>
        </w:tc>
        <w:tc>
          <w:tcPr>
            <w:tcW w:w="4387" w:type="dxa"/>
            <w:vAlign w:val="center"/>
          </w:tcPr>
          <w:p>
            <w:pPr>
              <w:rPr>
                <w:rFonts w:hint="default"/>
                <w:lang w:val="en-US" w:eastAsia="zh-CN"/>
              </w:rPr>
            </w:pPr>
            <w:r>
              <w:rPr>
                <w:rFonts w:hint="default"/>
                <w:lang w:val="en-US" w:eastAsia="zh-CN"/>
              </w:rPr>
              <w:t>采取保障人员安全的防护措施，评价总分值为15分，并按下列规则评分并累计：</w:t>
            </w:r>
          </w:p>
          <w:p>
            <w:pPr>
              <w:rPr>
                <w:rFonts w:hint="default"/>
                <w:lang w:val="en-US" w:eastAsia="zh-CN"/>
              </w:rPr>
            </w:pPr>
            <w:r>
              <w:rPr>
                <w:rFonts w:hint="default"/>
                <w:lang w:val="en-US" w:eastAsia="zh-CN"/>
              </w:rPr>
              <w:t>1采取措施提高阳台、外窗、窗台、防护栏杆等安全防护水平，得5分；</w:t>
            </w:r>
          </w:p>
          <w:p>
            <w:pPr>
              <w:rPr>
                <w:rFonts w:hint="default"/>
                <w:lang w:val="en-US" w:eastAsia="zh-CN"/>
              </w:rPr>
            </w:pPr>
            <w:r>
              <w:rPr>
                <w:rFonts w:hint="default"/>
                <w:lang w:val="en-US" w:eastAsia="zh-CN"/>
              </w:rPr>
              <w:t>2建筑物出入口均设外墙饰面、门窗玻璃意外脱落的防护措施，并与人员通道的遮阳、遮风或挡雨措施结合，得5分；</w:t>
            </w:r>
            <w:r>
              <w:rPr>
                <w:rFonts w:hint="default"/>
                <w:lang w:val="en-US" w:eastAsia="zh-CN"/>
              </w:rPr>
              <w:br w:type="textWrapping"/>
            </w:r>
            <w:r>
              <w:rPr>
                <w:rFonts w:hint="default"/>
                <w:lang w:val="en-US" w:eastAsia="zh-CN"/>
              </w:rPr>
              <w:t>3 利用场地或景观形成可降低坠物风险的缓冲区、隔离带，得5分。</w:t>
            </w:r>
          </w:p>
        </w:tc>
        <w:tc>
          <w:tcPr>
            <w:tcW w:w="3738" w:type="dxa"/>
            <w:vAlign w:val="center"/>
          </w:tcPr>
          <w:p>
            <w:pPr>
              <w:rPr>
                <w:rFonts w:hint="default"/>
                <w:lang w:val="en-US" w:eastAsia="zh-CN"/>
              </w:rPr>
            </w:pPr>
            <w:r>
              <w:rPr>
                <w:rFonts w:hint="default"/>
                <w:lang w:val="en-US" w:eastAsia="zh-CN"/>
              </w:rPr>
              <w:t>□相关竣工图</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4.2.3</w:t>
            </w:r>
          </w:p>
        </w:tc>
        <w:tc>
          <w:tcPr>
            <w:tcW w:w="4387" w:type="dxa"/>
            <w:vAlign w:val="center"/>
          </w:tcPr>
          <w:p>
            <w:pPr>
              <w:rPr>
                <w:rFonts w:hint="default"/>
                <w:lang w:val="en-US" w:eastAsia="zh-CN"/>
              </w:rPr>
            </w:pPr>
            <w:r>
              <w:rPr>
                <w:rFonts w:hint="default"/>
                <w:lang w:val="en-US" w:eastAsia="zh-CN"/>
              </w:rPr>
              <w:t>采用具有安全防护功能的产品或配件，评价总分值为10分，并按下列规则分别评分并累计：</w:t>
            </w:r>
            <w:r>
              <w:rPr>
                <w:rFonts w:hint="default"/>
                <w:lang w:val="en-US" w:eastAsia="zh-CN"/>
              </w:rPr>
              <w:br w:type="textWrapping"/>
            </w:r>
            <w:r>
              <w:rPr>
                <w:rFonts w:hint="default"/>
                <w:lang w:val="en-US" w:eastAsia="zh-CN"/>
              </w:rPr>
              <w:t>1 采用具有安全防护功能的玻璃，得5分；</w:t>
            </w:r>
            <w:r>
              <w:rPr>
                <w:rFonts w:hint="default"/>
                <w:lang w:val="en-US" w:eastAsia="zh-CN"/>
              </w:rPr>
              <w:br w:type="textWrapping"/>
            </w:r>
            <w:r>
              <w:rPr>
                <w:rFonts w:hint="default"/>
                <w:lang w:val="en-US" w:eastAsia="zh-CN"/>
              </w:rPr>
              <w:t>2 采用具备防夹功能的门窗，得5分。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□安全玻璃及门窗检测检验报告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4.2.4 </w:t>
            </w:r>
          </w:p>
        </w:tc>
        <w:tc>
          <w:tcPr>
            <w:tcW w:w="4387" w:type="dxa"/>
            <w:vAlign w:val="center"/>
          </w:tcPr>
          <w:p>
            <w:pPr>
              <w:rPr>
                <w:rFonts w:hint="default"/>
                <w:lang w:val="en-US" w:eastAsia="zh-CN"/>
              </w:rPr>
            </w:pPr>
            <w:r>
              <w:rPr>
                <w:rFonts w:hint="default"/>
                <w:lang w:val="en-US" w:eastAsia="zh-CN"/>
              </w:rPr>
              <w:t>室内外地面或路面设置防滑措施，评价总分值为10分，并按下列规则分别评分并累计：</w:t>
            </w:r>
            <w:r>
              <w:rPr>
                <w:rFonts w:hint="default"/>
                <w:lang w:val="en-US" w:eastAsia="zh-CN"/>
              </w:rPr>
              <w:br w:type="textWrapping"/>
            </w:r>
            <w:r>
              <w:rPr>
                <w:rFonts w:hint="default"/>
                <w:lang w:val="en-US" w:eastAsia="zh-CN"/>
              </w:rPr>
              <w:t>1 建筑出入口及平台、公共走廊、电梯门厅、厨房、浴室、卫生间等设置防滑措施，防滑等级不低于现行行业标准《建筑地面工程防滑技术规程》JGJ/T 331规定的Bd、Bw级，得3分；</w:t>
            </w:r>
            <w:r>
              <w:rPr>
                <w:rFonts w:hint="default"/>
                <w:lang w:val="en-US" w:eastAsia="zh-CN"/>
              </w:rPr>
              <w:br w:type="textWrapping"/>
            </w:r>
            <w:r>
              <w:rPr>
                <w:rFonts w:hint="default"/>
                <w:lang w:val="en-US" w:eastAsia="zh-CN"/>
              </w:rPr>
              <w:t>2 建筑室内外活动场所采用防滑地面，防滑等级达到现行行业标准《建筑地面工程防滑技术规程》JGJ/T 331规定的Ad、Aw级，得4分；</w:t>
            </w:r>
            <w:r>
              <w:rPr>
                <w:rFonts w:hint="default"/>
                <w:lang w:val="en-US" w:eastAsia="zh-CN"/>
              </w:rPr>
              <w:br w:type="textWrapping"/>
            </w:r>
            <w:r>
              <w:rPr>
                <w:rFonts w:hint="default"/>
                <w:lang w:val="en-US" w:eastAsia="zh-CN"/>
              </w:rPr>
              <w:t>3 建筑坡道、楼梯踏步防滑等级达到现行行业标准《建筑地面工程防滑技术规程》JGJ/T 331规定的Ad、Aw级或按水平地面等级提高一级，并采用防滑条等防滑构造技术措施，得3分。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□防滑材料有关测试报告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4.2.6</w:t>
            </w:r>
          </w:p>
        </w:tc>
        <w:tc>
          <w:tcPr>
            <w:tcW w:w="4387" w:type="dxa"/>
            <w:vAlign w:val="center"/>
          </w:tcPr>
          <w:p>
            <w:pPr>
              <w:rPr>
                <w:rFonts w:hint="default"/>
                <w:lang w:val="en-US" w:eastAsia="zh-CN"/>
              </w:rPr>
            </w:pPr>
            <w:r>
              <w:rPr>
                <w:rFonts w:hint="default"/>
                <w:lang w:val="en-US" w:eastAsia="zh-CN"/>
              </w:rPr>
              <w:t>4．2．6 采取提升建筑适变性的措施，评价总分值为18分，并按下列规则分别评分并累计：</w:t>
            </w:r>
            <w:r>
              <w:rPr>
                <w:rFonts w:hint="default"/>
                <w:lang w:val="en-US" w:eastAsia="zh-CN"/>
              </w:rPr>
              <w:br w:type="textWrapping"/>
            </w:r>
            <w:r>
              <w:rPr>
                <w:rFonts w:hint="default"/>
                <w:lang w:val="en-US" w:eastAsia="zh-CN"/>
              </w:rPr>
              <w:t>    1 采取通用开放、灵活可变的使用空间设计，或采取建筑使用功能可变措施，得7分；</w:t>
            </w:r>
            <w:r>
              <w:rPr>
                <w:rFonts w:hint="default"/>
                <w:lang w:val="en-US" w:eastAsia="zh-CN"/>
              </w:rPr>
              <w:br w:type="textWrapping"/>
            </w:r>
            <w:r>
              <w:rPr>
                <w:rFonts w:hint="default"/>
                <w:lang w:val="en-US" w:eastAsia="zh-CN"/>
              </w:rPr>
              <w:t>    2 建筑结构与建筑设备管线分离，得7分；</w:t>
            </w:r>
            <w:r>
              <w:rPr>
                <w:rFonts w:hint="default"/>
                <w:lang w:val="en-US" w:eastAsia="zh-CN"/>
              </w:rPr>
              <w:br w:type="textWrapping"/>
            </w:r>
            <w:r>
              <w:rPr>
                <w:rFonts w:hint="default"/>
                <w:lang w:val="en-US" w:eastAsia="zh-CN"/>
              </w:rPr>
              <w:t>    3 采用与建筑功能和空间变化相适应的设备设施布置方式或控制方式，得4分。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评价阶段查阅相关竣工图、建筑适变性提升措施的设计说明。</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4.2.7</w:t>
            </w:r>
          </w:p>
        </w:tc>
        <w:tc>
          <w:tcPr>
            <w:tcW w:w="4387" w:type="dxa"/>
            <w:vAlign w:val="center"/>
          </w:tcPr>
          <w:p>
            <w:pPr>
              <w:rPr>
                <w:rFonts w:hint="default"/>
                <w:lang w:val="en-US" w:eastAsia="zh-CN"/>
              </w:rPr>
            </w:pPr>
            <w:r>
              <w:rPr>
                <w:rFonts w:hint="default"/>
                <w:lang w:val="en-US" w:eastAsia="zh-CN"/>
              </w:rPr>
              <w:t>采取提升建筑部品部件耐久性的措施，评价总分值为10分，并按下列规则分别评分并累计：</w:t>
            </w:r>
            <w:r>
              <w:rPr>
                <w:rFonts w:hint="default"/>
                <w:lang w:val="en-US" w:eastAsia="zh-CN"/>
              </w:rPr>
              <w:br w:type="textWrapping"/>
            </w:r>
            <w:r>
              <w:rPr>
                <w:rFonts w:hint="default"/>
                <w:lang w:val="en-US" w:eastAsia="zh-CN"/>
              </w:rPr>
              <w:t>1 使用耐腐蚀、抗老化、耐久性能好的管材、管线、管件，得5分；</w:t>
            </w:r>
            <w:r>
              <w:rPr>
                <w:rFonts w:hint="default"/>
                <w:lang w:val="en-US" w:eastAsia="zh-CN"/>
              </w:rPr>
              <w:br w:type="textWrapping"/>
            </w:r>
            <w:r>
              <w:rPr>
                <w:rFonts w:hint="default"/>
                <w:lang w:val="en-US" w:eastAsia="zh-CN"/>
              </w:rPr>
              <w:t>2 活动配件选用长寿命产品，并考虑部品组合的同寿命性；不同使用寿命的部品组合时，采用便于分别拆换、更新和升级的构造，得5分。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□产品合格证等质量证明文件</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4.2.8 </w:t>
            </w:r>
          </w:p>
        </w:tc>
        <w:tc>
          <w:tcPr>
            <w:tcW w:w="4387" w:type="dxa"/>
            <w:vAlign w:val="center"/>
          </w:tcPr>
          <w:p>
            <w:pPr>
              <w:rPr>
                <w:rFonts w:hint="default"/>
                <w:lang w:val="en-US" w:eastAsia="zh-CN"/>
              </w:rPr>
            </w:pPr>
            <w:r>
              <w:rPr>
                <w:rFonts w:hint="default"/>
                <w:lang w:val="en-US" w:eastAsia="zh-CN"/>
              </w:rPr>
              <w:t>提高建筑结构材料的耐久性，评价总分值为10分，并按下列规则评分：</w:t>
            </w:r>
            <w:r>
              <w:rPr>
                <w:rFonts w:hint="default"/>
                <w:lang w:val="en-US" w:eastAsia="zh-CN"/>
              </w:rPr>
              <w:br w:type="textWrapping"/>
            </w:r>
            <w:r>
              <w:rPr>
                <w:rFonts w:hint="default"/>
                <w:lang w:val="en-US" w:eastAsia="zh-CN"/>
              </w:rPr>
              <w:t>1 按100年进行耐久性设计，得10分。</w:t>
            </w:r>
            <w:r>
              <w:rPr>
                <w:rFonts w:hint="default"/>
                <w:lang w:val="en-US" w:eastAsia="zh-CN"/>
              </w:rPr>
              <w:br w:type="textWrapping"/>
            </w:r>
            <w:r>
              <w:rPr>
                <w:rFonts w:hint="default"/>
                <w:lang w:val="en-US" w:eastAsia="zh-CN"/>
              </w:rPr>
              <w:t>2 采用耐久性能好的建筑结构材料，满足下列条件之一，得10分：</w:t>
            </w:r>
            <w:r>
              <w:rPr>
                <w:rFonts w:hint="default"/>
                <w:lang w:val="en-US" w:eastAsia="zh-CN"/>
              </w:rPr>
              <w:br w:type="textWrapping"/>
            </w:r>
            <w:r>
              <w:rPr>
                <w:rFonts w:hint="default"/>
                <w:lang w:val="en-US" w:eastAsia="zh-CN"/>
              </w:rPr>
              <w:t> 1)对于混凝土构件，提高钢筋保护层厚度或采用高耐久混凝土；</w:t>
            </w:r>
            <w:r>
              <w:rPr>
                <w:rFonts w:hint="default"/>
                <w:lang w:val="en-US" w:eastAsia="zh-CN"/>
              </w:rPr>
              <w:br w:type="textWrapping"/>
            </w:r>
            <w:r>
              <w:rPr>
                <w:rFonts w:hint="default"/>
                <w:lang w:val="en-US" w:eastAsia="zh-CN"/>
              </w:rPr>
              <w:t> 2)对于钢构件，采用耐候结构钢及耐候型防腐涂料；</w:t>
            </w:r>
            <w:r>
              <w:rPr>
                <w:rFonts w:hint="default"/>
                <w:lang w:val="en-US" w:eastAsia="zh-CN"/>
              </w:rPr>
              <w:br w:type="textWrapping"/>
            </w:r>
            <w:r>
              <w:rPr>
                <w:rFonts w:hint="default"/>
                <w:lang w:val="en-US" w:eastAsia="zh-CN"/>
              </w:rPr>
              <w:t> 3)对于木构件，采用防腐木材、耐久木材或耐久木制品。</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□材料用量计算书</w:t>
            </w:r>
          </w:p>
          <w:p>
            <w:pPr>
              <w:rPr>
                <w:rFonts w:hint="default"/>
                <w:lang w:val="en-US" w:eastAsia="zh-CN"/>
              </w:rPr>
            </w:pPr>
            <w:r>
              <w:rPr>
                <w:rFonts w:hint="default"/>
                <w:lang w:val="en-US" w:eastAsia="zh-CN"/>
              </w:rPr>
              <w:t>□材料决算清单</w:t>
            </w:r>
          </w:p>
          <w:p>
            <w:pPr>
              <w:rPr>
                <w:rFonts w:hint="default"/>
                <w:lang w:val="en-US" w:eastAsia="zh-CN"/>
              </w:rPr>
            </w:pPr>
            <w:r>
              <w:rPr>
                <w:rFonts w:hint="default"/>
                <w:lang w:val="en-US" w:eastAsia="zh-CN"/>
              </w:rPr>
              <w:t>□产品合格证等质量证明文件</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4.2.9</w:t>
            </w:r>
          </w:p>
        </w:tc>
        <w:tc>
          <w:tcPr>
            <w:tcW w:w="4387" w:type="dxa"/>
            <w:vAlign w:val="center"/>
          </w:tcPr>
          <w:p>
            <w:pPr>
              <w:rPr>
                <w:rFonts w:hint="default"/>
                <w:lang w:val="en-US" w:eastAsia="zh-CN"/>
              </w:rPr>
            </w:pPr>
            <w:r>
              <w:rPr>
                <w:rFonts w:hint="default"/>
                <w:lang w:val="en-US" w:eastAsia="zh-CN"/>
              </w:rPr>
              <w:t xml:space="preserve"> 合理采用耐久性好、易维护的装饰装修建筑材料，评价总分值为9分，并按下列规则分别评分并累计：</w:t>
            </w:r>
            <w:r>
              <w:rPr>
                <w:rFonts w:hint="default"/>
                <w:lang w:val="en-US" w:eastAsia="zh-CN"/>
              </w:rPr>
              <w:br w:type="textWrapping"/>
            </w:r>
            <w:r>
              <w:rPr>
                <w:rFonts w:hint="default"/>
                <w:lang w:val="en-US" w:eastAsia="zh-CN"/>
              </w:rPr>
              <w:t>1 采用耐久性好的外饰面材料，得3分；</w:t>
            </w:r>
            <w:r>
              <w:rPr>
                <w:rFonts w:hint="default"/>
                <w:lang w:val="en-US" w:eastAsia="zh-CN"/>
              </w:rPr>
              <w:br w:type="textWrapping"/>
            </w:r>
            <w:r>
              <w:rPr>
                <w:rFonts w:hint="default"/>
                <w:lang w:val="en-US" w:eastAsia="zh-CN"/>
              </w:rPr>
              <w:t>2 采用耐久性好的防水和密封材料，得3分；</w:t>
            </w:r>
            <w:r>
              <w:rPr>
                <w:rFonts w:hint="default"/>
                <w:lang w:val="en-US" w:eastAsia="zh-CN"/>
              </w:rPr>
              <w:br w:type="textWrapping"/>
            </w:r>
            <w:r>
              <w:rPr>
                <w:rFonts w:hint="default"/>
                <w:lang w:val="en-US" w:eastAsia="zh-CN"/>
              </w:rPr>
              <w:t>3 采用耐久性好、易维护的室内装饰装修材料，得3分。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□材料决算清单</w:t>
            </w:r>
          </w:p>
          <w:p>
            <w:pPr>
              <w:rPr>
                <w:rFonts w:hint="default"/>
                <w:lang w:val="en-US" w:eastAsia="zh-CN"/>
              </w:rPr>
            </w:pPr>
            <w:r>
              <w:rPr>
                <w:rFonts w:hint="default"/>
                <w:lang w:val="en-US" w:eastAsia="zh-CN"/>
              </w:rPr>
              <w:t>□材料检测报告</w:t>
            </w:r>
          </w:p>
          <w:p>
            <w:pPr>
              <w:rPr>
                <w:rFonts w:hint="default"/>
                <w:lang w:val="en-US" w:eastAsia="zh-CN"/>
              </w:rPr>
            </w:pPr>
            <w:r>
              <w:rPr>
                <w:rFonts w:hint="default"/>
                <w:lang w:val="en-US" w:eastAsia="zh-CN"/>
              </w:rPr>
              <w:t>□材料耐久性证明</w:t>
            </w:r>
          </w:p>
          <w:p>
            <w:pPr>
              <w:rPr>
                <w:rFonts w:hint="default"/>
                <w:lang w:val="en-US" w:eastAsia="zh-CN"/>
              </w:rPr>
            </w:pP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r>
              <w:rPr>
                <w:rFonts w:hint="default"/>
                <w:lang w:val="en-US" w:eastAsia="zh-CN"/>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5.2.1 </w:t>
            </w:r>
          </w:p>
        </w:tc>
        <w:tc>
          <w:tcPr>
            <w:tcW w:w="4387" w:type="dxa"/>
            <w:vAlign w:val="center"/>
          </w:tcPr>
          <w:p>
            <w:pPr>
              <w:rPr>
                <w:rFonts w:hint="default"/>
                <w:lang w:val="en-US" w:eastAsia="zh-CN"/>
              </w:rPr>
            </w:pPr>
            <w:r>
              <w:rPr>
                <w:rFonts w:hint="default"/>
                <w:lang w:val="en-US" w:eastAsia="zh-CN"/>
              </w:rPr>
              <w:t>控制室内主要空气污染物的浓度，评价总分值为12分，并按下列规则分别评分并累计：</w:t>
            </w:r>
            <w:r>
              <w:rPr>
                <w:rFonts w:hint="default"/>
                <w:lang w:val="en-US" w:eastAsia="zh-CN"/>
              </w:rPr>
              <w:br w:type="textWrapping"/>
            </w:r>
            <w:r>
              <w:rPr>
                <w:rFonts w:hint="default"/>
                <w:lang w:val="en-US" w:eastAsia="zh-CN"/>
              </w:rPr>
              <w:t>1 氨、甲醛、苯、总挥发性有机物、氡等污染物浓度低于现行国家标准《室内空气质量标准》GB/T 18883规定限值的10％，得3分；低于20％，得6分；</w:t>
            </w:r>
            <w:r>
              <w:rPr>
                <w:rFonts w:hint="default"/>
                <w:lang w:val="en-US" w:eastAsia="zh-CN"/>
              </w:rPr>
              <w:br w:type="textWrapping"/>
            </w:r>
            <w:r>
              <w:rPr>
                <w:rFonts w:hint="default"/>
                <w:lang w:val="en-US" w:eastAsia="zh-CN"/>
              </w:rPr>
              <w:t>2 室内PM2.5年均浓度不高于25μg/m3，且室内PM10年均浓度不高于50μg/m3，得6分。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□室内空气质量现场检测报告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□一星级</w:t>
            </w:r>
          </w:p>
          <w:p>
            <w:pPr>
              <w:rPr>
                <w:rFonts w:hint="default"/>
                <w:lang w:val="en-US" w:eastAsia="zh-CN"/>
              </w:rPr>
            </w:pPr>
            <w:r>
              <w:rPr>
                <w:rFonts w:hint="default"/>
                <w:lang w:val="en-US" w:eastAsia="zh-CN"/>
              </w:rPr>
              <w:t>□二星级</w:t>
            </w:r>
          </w:p>
          <w:p>
            <w:pPr>
              <w:rPr>
                <w:rFonts w:hint="default"/>
                <w:lang w:val="en-US" w:eastAsia="zh-CN"/>
              </w:rPr>
            </w:pPr>
            <w:r>
              <w:rPr>
                <w:rFonts w:hint="default"/>
                <w:lang w:val="en-US" w:eastAsia="zh-CN"/>
              </w:rPr>
              <w:t>□三星级</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5.2.2</w:t>
            </w:r>
          </w:p>
        </w:tc>
        <w:tc>
          <w:tcPr>
            <w:tcW w:w="4387" w:type="dxa"/>
            <w:vAlign w:val="center"/>
          </w:tcPr>
          <w:p>
            <w:pPr>
              <w:rPr>
                <w:rFonts w:hint="default"/>
                <w:lang w:val="en-US" w:eastAsia="zh-CN"/>
              </w:rPr>
            </w:pPr>
            <w:r>
              <w:rPr>
                <w:rFonts w:hint="default"/>
                <w:lang w:val="en-US" w:eastAsia="zh-CN"/>
              </w:rPr>
              <w:t>选用的装饰装修材料满足国家现行绿色产品评价标准中对有害物质限量的要求，评价总分值为8分。选用满足要求的装饰装修材料达到3类及以上，得5分；达到5类及以上，得8分。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□工程决算材料清单</w:t>
            </w:r>
          </w:p>
          <w:p>
            <w:pPr>
              <w:rPr>
                <w:rFonts w:hint="default"/>
                <w:lang w:val="en-US" w:eastAsia="zh-CN"/>
              </w:rPr>
            </w:pPr>
            <w:r>
              <w:rPr>
                <w:rFonts w:hint="default"/>
                <w:lang w:val="en-US" w:eastAsia="zh-CN"/>
              </w:rPr>
              <w:t>□产品检测报告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5.2.6 </w:t>
            </w:r>
          </w:p>
        </w:tc>
        <w:tc>
          <w:tcPr>
            <w:tcW w:w="4387" w:type="dxa"/>
            <w:vAlign w:val="center"/>
          </w:tcPr>
          <w:p>
            <w:pPr>
              <w:rPr>
                <w:rFonts w:hint="default"/>
                <w:lang w:val="en-US" w:eastAsia="zh-CN"/>
              </w:rPr>
            </w:pPr>
            <w:r>
              <w:rPr>
                <w:rFonts w:hint="default"/>
                <w:lang w:val="en-US" w:eastAsia="zh-CN"/>
              </w:rPr>
              <w:t>采取措施优化主要功能房间的室内声环境，评价总分值为8分。噪声级达到现行国家标准《民用建筑隔声设计规范》GB 50118中的低限标准限值和高要求标准限值的平均值，得4分；达到高要求标准限值，得8分。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□室内噪声检测报告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5.2.7 </w:t>
            </w:r>
          </w:p>
        </w:tc>
        <w:tc>
          <w:tcPr>
            <w:tcW w:w="4387" w:type="dxa"/>
            <w:vAlign w:val="center"/>
          </w:tcPr>
          <w:p>
            <w:pPr>
              <w:rPr>
                <w:rFonts w:hint="default"/>
                <w:lang w:val="en-US" w:eastAsia="zh-CN"/>
              </w:rPr>
            </w:pPr>
            <w:r>
              <w:rPr>
                <w:rFonts w:hint="default"/>
                <w:lang w:val="en-US" w:eastAsia="zh-CN"/>
              </w:rPr>
              <w:t>主要功能房间的隔声性能良好，评价总分值为10分，并按下列规则分别评分并累计：</w:t>
            </w:r>
            <w:r>
              <w:rPr>
                <w:rFonts w:hint="default"/>
                <w:lang w:val="en-US" w:eastAsia="zh-CN"/>
              </w:rPr>
              <w:br w:type="textWrapping"/>
            </w:r>
            <w:r>
              <w:rPr>
                <w:rFonts w:hint="default"/>
                <w:lang w:val="en-US" w:eastAsia="zh-CN"/>
              </w:rPr>
              <w:t>1 构件及相邻房间之间的空气声隔声性能达到现行国家标准《民用建筑隔声设计规范》GB 50118中的低限标准限值和高要求标准限值的平均值，得3分；达到高要求标准限值，得5分；</w:t>
            </w:r>
            <w:r>
              <w:rPr>
                <w:rFonts w:hint="default"/>
                <w:lang w:val="en-US" w:eastAsia="zh-CN"/>
              </w:rPr>
              <w:br w:type="textWrapping"/>
            </w:r>
            <w:r>
              <w:rPr>
                <w:rFonts w:hint="default"/>
                <w:lang w:val="en-US" w:eastAsia="zh-CN"/>
              </w:rPr>
              <w:t>2 楼板的撞击声隔声性能达到现行国家标准《民用建筑隔声设计规范》GB 50118中的低限标准限值和高要求标准限值的平均值，得3分；达到高要求标准限值，得5分。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□构件隔声性能的现场检验报告</w:t>
            </w:r>
          </w:p>
          <w:p>
            <w:pPr>
              <w:rPr>
                <w:rFonts w:hint="default"/>
                <w:lang w:val="en-US" w:eastAsia="zh-CN"/>
              </w:rPr>
            </w:pPr>
            <w:r>
              <w:rPr>
                <w:rFonts w:hint="default"/>
                <w:lang w:val="en-US" w:eastAsia="zh-CN"/>
              </w:rPr>
              <w:t>□楼板撞击声隔声性能的现场检测报告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 xml:space="preserve">5．2．8 </w:t>
            </w:r>
          </w:p>
        </w:tc>
        <w:tc>
          <w:tcPr>
            <w:tcW w:w="4387" w:type="dxa"/>
            <w:vAlign w:val="center"/>
          </w:tcPr>
          <w:p>
            <w:pPr>
              <w:rPr>
                <w:rFonts w:hint="default"/>
                <w:lang w:val="en-US" w:eastAsia="zh-CN"/>
              </w:rPr>
            </w:pPr>
            <w:r>
              <w:rPr>
                <w:rFonts w:hint="default"/>
                <w:lang w:val="en-US" w:eastAsia="zh-CN"/>
              </w:rPr>
              <w:t>充分利用天然光，评价总分值为12分，并按下列规则分别评分并累计：</w:t>
            </w:r>
            <w:r>
              <w:rPr>
                <w:rFonts w:hint="default"/>
                <w:lang w:val="en-US" w:eastAsia="zh-CN"/>
              </w:rPr>
              <w:br w:type="textWrapping"/>
            </w:r>
            <w:r>
              <w:rPr>
                <w:rFonts w:hint="default"/>
                <w:lang w:val="en-US" w:eastAsia="zh-CN"/>
              </w:rPr>
              <w:t>    1 住宅建筑室内主要功能空间至少60％面积比例区域，其采光照度值不低于300lx的小时数平均不少于8h/d，得9分。</w:t>
            </w:r>
            <w:r>
              <w:rPr>
                <w:rFonts w:hint="default"/>
                <w:lang w:val="en-US" w:eastAsia="zh-CN"/>
              </w:rPr>
              <w:br w:type="textWrapping"/>
            </w:r>
            <w:r>
              <w:rPr>
                <w:rFonts w:hint="default"/>
                <w:lang w:val="en-US" w:eastAsia="zh-CN"/>
              </w:rPr>
              <w:t>    2 公共建筑按下列规则分别评分并累计：</w:t>
            </w:r>
            <w:r>
              <w:rPr>
                <w:rFonts w:hint="default"/>
                <w:lang w:val="en-US" w:eastAsia="zh-CN"/>
              </w:rPr>
              <w:br w:type="textWrapping"/>
            </w:r>
            <w:r>
              <w:rPr>
                <w:rFonts w:hint="default"/>
                <w:lang w:val="en-US" w:eastAsia="zh-CN"/>
              </w:rPr>
              <w:t>     1)内区采光系数满足采光要求的面积比例达到60％，得3分；</w:t>
            </w:r>
            <w:r>
              <w:rPr>
                <w:rFonts w:hint="default"/>
                <w:lang w:val="en-US" w:eastAsia="zh-CN"/>
              </w:rPr>
              <w:br w:type="textWrapping"/>
            </w:r>
            <w:r>
              <w:rPr>
                <w:rFonts w:hint="default"/>
                <w:lang w:val="en-US" w:eastAsia="zh-CN"/>
              </w:rPr>
              <w:t>     2)地下空间平均采光系数不小于0．5％的面积与地下室首层面积的比例达到10％以上，得3分；</w:t>
            </w:r>
            <w:r>
              <w:rPr>
                <w:rFonts w:hint="default"/>
                <w:lang w:val="en-US" w:eastAsia="zh-CN"/>
              </w:rPr>
              <w:br w:type="textWrapping"/>
            </w:r>
            <w:r>
              <w:rPr>
                <w:rFonts w:hint="default"/>
                <w:lang w:val="en-US" w:eastAsia="zh-CN"/>
              </w:rPr>
              <w:t>     3)室内主要功能空间至少60％面积比例区域的采光照度值不低于采光要求的小时数平均不少于4h/d，得3分。</w:t>
            </w:r>
            <w:r>
              <w:rPr>
                <w:rFonts w:hint="default"/>
                <w:lang w:val="en-US" w:eastAsia="zh-CN"/>
              </w:rPr>
              <w:br w:type="textWrapping"/>
            </w:r>
            <w:r>
              <w:rPr>
                <w:rFonts w:hint="default"/>
                <w:lang w:val="en-US" w:eastAsia="zh-CN"/>
              </w:rPr>
              <w:t>    3 主要功能房间有眩光控制措施，得3分。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查阅相关竣工图、计算书、采光检测报告。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5．2．10</w:t>
            </w:r>
          </w:p>
        </w:tc>
        <w:tc>
          <w:tcPr>
            <w:tcW w:w="4387" w:type="dxa"/>
            <w:vAlign w:val="center"/>
          </w:tcPr>
          <w:p>
            <w:pPr>
              <w:rPr>
                <w:rFonts w:hint="default"/>
                <w:lang w:val="en-US" w:eastAsia="zh-CN"/>
              </w:rPr>
            </w:pPr>
            <w:r>
              <w:rPr>
                <w:rFonts w:hint="default"/>
                <w:lang w:val="en-US" w:eastAsia="zh-CN"/>
              </w:rPr>
              <w:t xml:space="preserve"> 优化建筑空间和平面布局，改善自然通风效果，评价总分值为8分，并按下列规则评分：</w:t>
            </w:r>
            <w:r>
              <w:rPr>
                <w:rFonts w:hint="default"/>
                <w:lang w:val="en-US" w:eastAsia="zh-CN"/>
              </w:rPr>
              <w:br w:type="textWrapping"/>
            </w:r>
            <w:r>
              <w:rPr>
                <w:rFonts w:hint="default"/>
                <w:lang w:val="en-US" w:eastAsia="zh-CN"/>
              </w:rPr>
              <w:t>    1 住宅建筑：通风开口面积与房间地板面积的比例在夏热冬暖地区达到12％，在夏热冬冷地区达到8％，在其他地区达到5％，得5分；每再增加2％，再得1分，最高得8分。</w:t>
            </w:r>
            <w:r>
              <w:rPr>
                <w:rFonts w:hint="default"/>
                <w:lang w:val="en-US" w:eastAsia="zh-CN"/>
              </w:rPr>
              <w:br w:type="textWrapping"/>
            </w:r>
            <w:r>
              <w:rPr>
                <w:rFonts w:hint="default"/>
                <w:lang w:val="en-US" w:eastAsia="zh-CN"/>
              </w:rPr>
              <w:t>    2 公共建筑：过渡季典型工况下主要功能房间平均自然通风换气次数不小于2次/h的面积比例达到70％，得5分；每再增加10％，再得1分，最高得8分。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查阅相关竣工图、计算分析报告。</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5．2．11</w:t>
            </w:r>
          </w:p>
        </w:tc>
        <w:tc>
          <w:tcPr>
            <w:tcW w:w="4387" w:type="dxa"/>
            <w:vAlign w:val="center"/>
          </w:tcPr>
          <w:p>
            <w:pPr>
              <w:rPr>
                <w:rFonts w:hint="default"/>
                <w:lang w:val="en-US" w:eastAsia="zh-CN"/>
              </w:rPr>
            </w:pPr>
            <w:r>
              <w:rPr>
                <w:rFonts w:hint="default"/>
                <w:lang w:val="en-US" w:eastAsia="zh-CN"/>
              </w:rPr>
              <w:t xml:space="preserve"> 设置可调节遮阳设施，改善室内热舒适，评价总分值为9分，根据可调节遮阳设施的面积占外窗透明部分的比例按表5．2．11的规则评分。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查阅相关竣工图、产品说明书、计算书。</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7.2.14</w:t>
            </w:r>
          </w:p>
        </w:tc>
        <w:tc>
          <w:tcPr>
            <w:tcW w:w="4387" w:type="dxa"/>
            <w:vAlign w:val="center"/>
          </w:tcPr>
          <w:p>
            <w:pPr>
              <w:rPr>
                <w:rFonts w:hint="default"/>
                <w:lang w:val="en-US" w:eastAsia="zh-CN"/>
              </w:rPr>
            </w:pPr>
            <w:r>
              <w:rPr>
                <w:rFonts w:hint="default"/>
                <w:lang w:val="en-US" w:eastAsia="zh-CN"/>
              </w:rPr>
              <w:t>建筑所有区域实施土建工程与装修工程一体化设计及施工，评价分值为8分。</w:t>
            </w:r>
          </w:p>
        </w:tc>
        <w:tc>
          <w:tcPr>
            <w:tcW w:w="3738" w:type="dxa"/>
            <w:vAlign w:val="center"/>
          </w:tcPr>
          <w:p>
            <w:pPr>
              <w:rPr>
                <w:rFonts w:hint="default"/>
                <w:lang w:val="en-US" w:eastAsia="zh-CN"/>
              </w:rPr>
            </w:pPr>
            <w:r>
              <w:rPr>
                <w:rFonts w:hint="default"/>
                <w:lang w:val="en-US" w:eastAsia="zh-CN"/>
              </w:rPr>
              <w:t>□土建施工图</w:t>
            </w:r>
          </w:p>
          <w:p>
            <w:pPr>
              <w:rPr>
                <w:rFonts w:hint="default"/>
                <w:lang w:val="en-US" w:eastAsia="zh-CN"/>
              </w:rPr>
            </w:pPr>
            <w:r>
              <w:rPr>
                <w:rFonts w:hint="default"/>
                <w:lang w:val="en-US" w:eastAsia="zh-CN"/>
              </w:rPr>
              <w:t>□装修施工图</w:t>
            </w:r>
          </w:p>
          <w:p>
            <w:pPr>
              <w:rPr>
                <w:rFonts w:hint="default"/>
                <w:lang w:val="en-US" w:eastAsia="zh-CN"/>
              </w:rPr>
            </w:pPr>
            <w:r>
              <w:rPr>
                <w:rFonts w:hint="default"/>
                <w:lang w:val="en-US" w:eastAsia="zh-CN"/>
              </w:rPr>
              <w:t>□现场检查</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7.2.16</w:t>
            </w:r>
          </w:p>
        </w:tc>
        <w:tc>
          <w:tcPr>
            <w:tcW w:w="4387" w:type="dxa"/>
            <w:vAlign w:val="center"/>
          </w:tcPr>
          <w:p>
            <w:pPr>
              <w:rPr>
                <w:rFonts w:hint="default"/>
                <w:lang w:val="en-US" w:eastAsia="zh-CN"/>
              </w:rPr>
            </w:pPr>
            <w:r>
              <w:rPr>
                <w:rFonts w:hint="default"/>
                <w:lang w:val="en-US" w:eastAsia="zh-CN"/>
              </w:rPr>
              <w:t>建筑装修选用工业化内装部品，评价总分值为8分。建筑装修选用工业化内装部品占同类部品用量比例达到50%以上的部品种类，达到1种，得3分；达到3种，得5分；达到3 种以上，得8分。</w:t>
            </w:r>
          </w:p>
        </w:tc>
        <w:tc>
          <w:tcPr>
            <w:tcW w:w="3738" w:type="dxa"/>
            <w:vAlign w:val="center"/>
          </w:tcPr>
          <w:p>
            <w:pPr>
              <w:rPr>
                <w:rFonts w:hint="default"/>
                <w:lang w:val="en-US" w:eastAsia="zh-CN"/>
              </w:rPr>
            </w:pPr>
            <w:r>
              <w:rPr>
                <w:rFonts w:hint="default"/>
                <w:lang w:val="en-US" w:eastAsia="zh-CN"/>
              </w:rPr>
              <w:t>□建筑专业施工图</w:t>
            </w:r>
          </w:p>
          <w:p>
            <w:pPr>
              <w:rPr>
                <w:rFonts w:hint="default"/>
                <w:lang w:val="en-US" w:eastAsia="zh-CN"/>
              </w:rPr>
            </w:pPr>
            <w:r>
              <w:rPr>
                <w:rFonts w:hint="default"/>
                <w:lang w:val="en-US" w:eastAsia="zh-CN"/>
              </w:rPr>
              <w:t>□结构专业施工图</w:t>
            </w:r>
          </w:p>
          <w:p>
            <w:pPr>
              <w:rPr>
                <w:rFonts w:hint="default"/>
                <w:lang w:val="en-US" w:eastAsia="zh-CN"/>
              </w:rPr>
            </w:pPr>
            <w:r>
              <w:rPr>
                <w:rFonts w:hint="default"/>
                <w:lang w:val="en-US" w:eastAsia="zh-CN"/>
              </w:rPr>
              <w:t>□装修专业施工图</w:t>
            </w:r>
          </w:p>
          <w:p>
            <w:pPr>
              <w:rPr>
                <w:rFonts w:hint="default"/>
                <w:lang w:val="en-US" w:eastAsia="zh-CN"/>
              </w:rPr>
            </w:pPr>
            <w:r>
              <w:rPr>
                <w:rFonts w:hint="default"/>
                <w:lang w:val="en-US" w:eastAsia="zh-CN"/>
              </w:rPr>
              <w:t>□材料进出场记录</w:t>
            </w:r>
          </w:p>
          <w:p>
            <w:pPr>
              <w:rPr>
                <w:rFonts w:hint="default"/>
                <w:lang w:val="en-US" w:eastAsia="zh-CN"/>
              </w:rPr>
            </w:pPr>
            <w:r>
              <w:rPr>
                <w:rFonts w:hint="default"/>
                <w:lang w:val="en-US" w:eastAsia="zh-CN"/>
              </w:rPr>
              <w:t>□现场核查</w:t>
            </w:r>
          </w:p>
        </w:tc>
        <w:tc>
          <w:tcPr>
            <w:tcW w:w="1600"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0" w:type="dxa"/>
            <w:vMerge w:val="continue"/>
            <w:vAlign w:val="center"/>
          </w:tcPr>
          <w:p>
            <w:pPr>
              <w:rPr>
                <w:rFonts w:hint="default"/>
                <w:lang w:val="en-US" w:eastAsia="zh-CN"/>
              </w:rPr>
            </w:pPr>
          </w:p>
        </w:tc>
        <w:tc>
          <w:tcPr>
            <w:tcW w:w="1113" w:type="dxa"/>
            <w:vAlign w:val="center"/>
          </w:tcPr>
          <w:p>
            <w:pPr>
              <w:rPr>
                <w:rFonts w:hint="default"/>
                <w:lang w:val="en-US" w:eastAsia="zh-CN"/>
              </w:rPr>
            </w:pPr>
            <w:r>
              <w:rPr>
                <w:rFonts w:hint="default"/>
                <w:lang w:val="en-US" w:eastAsia="zh-CN"/>
              </w:rPr>
              <w:t>9.2.10</w:t>
            </w:r>
          </w:p>
        </w:tc>
        <w:tc>
          <w:tcPr>
            <w:tcW w:w="4387" w:type="dxa"/>
            <w:vAlign w:val="center"/>
          </w:tcPr>
          <w:p>
            <w:pPr>
              <w:rPr>
                <w:rFonts w:hint="default"/>
                <w:lang w:val="en-US" w:eastAsia="zh-CN"/>
              </w:rPr>
            </w:pPr>
            <w:r>
              <w:rPr>
                <w:rFonts w:hint="default"/>
                <w:lang w:val="en-US" w:eastAsia="zh-CN"/>
              </w:rPr>
              <w:t>采取节约资源、保护生态环境、保障安全健康、智慧友好运行、传承历史文化等其他创新，并有明显效益，评价总分值为40分。每采取一项，得10分，最高得40分。</w:t>
            </w:r>
          </w:p>
        </w:tc>
        <w:tc>
          <w:tcPr>
            <w:tcW w:w="3738" w:type="dxa"/>
            <w:vAlign w:val="center"/>
          </w:tcPr>
          <w:p>
            <w:pPr>
              <w:rPr>
                <w:rFonts w:hint="default"/>
                <w:lang w:val="en-US" w:eastAsia="zh-CN"/>
              </w:rPr>
            </w:pPr>
            <w:r>
              <w:rPr>
                <w:rFonts w:hint="default"/>
                <w:lang w:val="en-US" w:eastAsia="zh-CN"/>
              </w:rPr>
              <w:t>□相关设计文件</w:t>
            </w:r>
          </w:p>
          <w:p>
            <w:pPr>
              <w:rPr>
                <w:rFonts w:hint="default"/>
                <w:lang w:val="en-US" w:eastAsia="zh-CN"/>
              </w:rPr>
            </w:pPr>
            <w:r>
              <w:rPr>
                <w:rFonts w:hint="default"/>
                <w:lang w:val="en-US" w:eastAsia="zh-CN"/>
              </w:rPr>
              <w:t>□分析论证报告及相关证明材料</w:t>
            </w:r>
          </w:p>
        </w:tc>
        <w:tc>
          <w:tcPr>
            <w:tcW w:w="1600" w:type="dxa"/>
            <w:vAlign w:val="center"/>
          </w:tcPr>
          <w:p>
            <w:pPr>
              <w:rPr>
                <w:rFonts w:hint="default"/>
                <w:lang w:val="en-US" w:eastAsia="zh-CN"/>
              </w:rPr>
            </w:pPr>
            <w:r>
              <w:rPr>
                <w:rFonts w:hint="default"/>
                <w:lang w:val="en-US" w:eastAsia="zh-CN"/>
              </w:rPr>
              <w:t>得分：</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13113" w:type="dxa"/>
            <w:gridSpan w:val="6"/>
            <w:vAlign w:val="center"/>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p>
          <w:p>
            <w:pPr>
              <w:rPr>
                <w:rFonts w:hint="default"/>
                <w:lang w:val="en-US" w:eastAsia="zh-CN"/>
              </w:rPr>
            </w:pPr>
            <w:r>
              <w:rPr>
                <w:rFonts w:hint="default"/>
                <w:lang w:val="en-US" w:eastAsia="zh-CN"/>
              </w:rPr>
              <w:t>日期：</w:t>
            </w:r>
          </w:p>
          <w:p>
            <w:pPr>
              <w:rPr>
                <w:rFonts w:hint="default"/>
                <w:lang w:val="en-US" w:eastAsia="zh-CN"/>
              </w:rPr>
            </w:pPr>
          </w:p>
        </w:tc>
      </w:tr>
    </w:tbl>
    <w:p>
      <w:pPr>
        <w:rPr>
          <w:rFonts w:hint="default"/>
          <w:lang w:val="en-US" w:eastAsia="zh-CN"/>
        </w:rPr>
      </w:pPr>
    </w:p>
    <w:p>
      <w:pPr>
        <w:rPr>
          <w:rFonts w:hint="default"/>
          <w:lang w:val="en-US" w:eastAsia="zh-CN"/>
        </w:rPr>
      </w:pPr>
    </w:p>
    <w:p>
      <w:pPr>
        <w:rPr>
          <w:rFonts w:hint="default"/>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4"/>
          <w:szCs w:val="32"/>
          <w:lang w:val="en-US" w:eastAsia="zh-CN"/>
        </w:rPr>
      </w:pPr>
    </w:p>
    <w:p>
      <w:pPr>
        <w:jc w:val="center"/>
        <w:rPr>
          <w:rFonts w:hint="default"/>
          <w:sz w:val="28"/>
          <w:szCs w:val="36"/>
          <w:lang w:val="en-US" w:eastAsia="zh-CN"/>
        </w:rPr>
      </w:pPr>
      <w:r>
        <w:rPr>
          <w:rFonts w:hint="default"/>
          <w:sz w:val="28"/>
          <w:szCs w:val="36"/>
          <w:lang w:val="en-US" w:eastAsia="zh-CN"/>
        </w:rPr>
        <w:t>绿色建筑工程验收专家评审意见表——建筑给水排水</w:t>
      </w:r>
    </w:p>
    <w:tbl>
      <w:tblPr>
        <w:tblStyle w:val="2"/>
        <w:tblW w:w="13137"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138"/>
        <w:gridCol w:w="4362"/>
        <w:gridCol w:w="3738"/>
        <w:gridCol w:w="161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rPr>
                <w:rFonts w:hint="default"/>
                <w:lang w:val="en-US" w:eastAsia="zh-CN"/>
              </w:rPr>
            </w:pPr>
            <w:r>
              <w:rPr>
                <w:rFonts w:hint="default"/>
                <w:lang w:val="en-US" w:eastAsia="zh-CN"/>
              </w:rPr>
              <w:t>类别</w:t>
            </w:r>
          </w:p>
        </w:tc>
        <w:tc>
          <w:tcPr>
            <w:tcW w:w="1138" w:type="dxa"/>
            <w:vAlign w:val="center"/>
          </w:tcPr>
          <w:p>
            <w:pPr>
              <w:rPr>
                <w:rFonts w:hint="default"/>
                <w:lang w:val="en-US" w:eastAsia="zh-CN"/>
              </w:rPr>
            </w:pPr>
            <w:r>
              <w:rPr>
                <w:rFonts w:hint="default"/>
                <w:lang w:val="en-US" w:eastAsia="zh-CN"/>
              </w:rPr>
              <w:t>评价标准条文编号</w:t>
            </w:r>
          </w:p>
        </w:tc>
        <w:tc>
          <w:tcPr>
            <w:tcW w:w="4362" w:type="dxa"/>
            <w:vAlign w:val="center"/>
          </w:tcPr>
          <w:p>
            <w:pPr>
              <w:rPr>
                <w:rFonts w:hint="default"/>
                <w:lang w:val="en-US" w:eastAsia="zh-CN"/>
              </w:rPr>
            </w:pPr>
            <w:r>
              <w:rPr>
                <w:rFonts w:hint="default"/>
                <w:lang w:val="en-US" w:eastAsia="zh-CN"/>
              </w:rPr>
              <w:t>条文内容及分值</w:t>
            </w:r>
          </w:p>
        </w:tc>
        <w:tc>
          <w:tcPr>
            <w:tcW w:w="3738" w:type="dxa"/>
            <w:vAlign w:val="center"/>
          </w:tcPr>
          <w:p>
            <w:pPr>
              <w:rPr>
                <w:rFonts w:hint="default"/>
                <w:lang w:val="en-US" w:eastAsia="zh-CN"/>
              </w:rPr>
            </w:pPr>
            <w:r>
              <w:rPr>
                <w:rFonts w:hint="default"/>
                <w:lang w:val="en-US" w:eastAsia="zh-CN"/>
              </w:rPr>
              <w:t>证明文件</w:t>
            </w:r>
          </w:p>
        </w:tc>
        <w:tc>
          <w:tcPr>
            <w:tcW w:w="1612" w:type="dxa"/>
            <w:vAlign w:val="center"/>
          </w:tcPr>
          <w:p>
            <w:pPr>
              <w:rPr>
                <w:rFonts w:hint="default"/>
                <w:lang w:val="en-US" w:eastAsia="zh-CN"/>
              </w:rPr>
            </w:pPr>
            <w:r>
              <w:rPr>
                <w:rFonts w:hint="default"/>
                <w:lang w:val="en-US" w:eastAsia="zh-CN"/>
              </w:rPr>
              <w:t>评审结果</w:t>
            </w:r>
          </w:p>
        </w:tc>
        <w:tc>
          <w:tcPr>
            <w:tcW w:w="1325"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restart"/>
            <w:vAlign w:val="center"/>
          </w:tcPr>
          <w:p>
            <w:pPr>
              <w:rPr>
                <w:rFonts w:hint="default"/>
                <w:lang w:val="en-US" w:eastAsia="zh-CN"/>
              </w:rPr>
            </w:pPr>
            <w:r>
              <w:rPr>
                <w:rFonts w:hint="default"/>
                <w:lang w:val="en-US" w:eastAsia="zh-CN"/>
              </w:rPr>
              <w:t>控制项</w:t>
            </w:r>
          </w:p>
        </w:tc>
        <w:tc>
          <w:tcPr>
            <w:tcW w:w="1138" w:type="dxa"/>
            <w:vAlign w:val="center"/>
          </w:tcPr>
          <w:p>
            <w:pPr>
              <w:rPr>
                <w:rFonts w:hint="default"/>
                <w:lang w:val="en-US" w:eastAsia="zh-CN"/>
              </w:rPr>
            </w:pPr>
            <w:r>
              <w:rPr>
                <w:rFonts w:hint="default"/>
                <w:lang w:val="en-US" w:eastAsia="zh-CN"/>
              </w:rPr>
              <w:t>5.1.3</w:t>
            </w:r>
          </w:p>
        </w:tc>
        <w:tc>
          <w:tcPr>
            <w:tcW w:w="4362" w:type="dxa"/>
            <w:vAlign w:val="center"/>
          </w:tcPr>
          <w:p>
            <w:pPr>
              <w:rPr>
                <w:rFonts w:hint="default"/>
                <w:lang w:val="en-US" w:eastAsia="zh-CN"/>
              </w:rPr>
            </w:pPr>
            <w:r>
              <w:rPr>
                <w:rFonts w:hint="default"/>
                <w:lang w:val="en-US" w:eastAsia="zh-CN"/>
              </w:rPr>
              <w:t>1 生活饮用水水质应满足现行国家标准《生活饮用水卫生标准》GB 5749的要求；</w:t>
            </w:r>
          </w:p>
          <w:p>
            <w:pPr>
              <w:rPr>
                <w:rFonts w:hint="default"/>
                <w:lang w:val="en-US" w:eastAsia="zh-CN"/>
              </w:rPr>
            </w:pPr>
            <w:r>
              <w:rPr>
                <w:rFonts w:hint="default"/>
                <w:lang w:val="en-US" w:eastAsia="zh-CN"/>
              </w:rPr>
              <w:t>2 应制定水池、水箱等储水设施定期清洗消毒计划并实施，且生活饮用水储水设施每半年清洗消毒不应少于1次；</w:t>
            </w:r>
          </w:p>
          <w:p>
            <w:pPr>
              <w:rPr>
                <w:rFonts w:hint="default"/>
                <w:lang w:val="en-US" w:eastAsia="zh-CN"/>
              </w:rPr>
            </w:pPr>
            <w:r>
              <w:rPr>
                <w:rFonts w:hint="default"/>
                <w:lang w:val="en-US" w:eastAsia="zh-CN"/>
              </w:rPr>
              <w:t>3 应使用构造内自带水封的便器，且其水封深度不应小于50mm；</w:t>
            </w:r>
          </w:p>
          <w:p>
            <w:pPr>
              <w:rPr>
                <w:rFonts w:hint="default"/>
                <w:lang w:val="en-US" w:eastAsia="zh-CN"/>
              </w:rPr>
            </w:pPr>
            <w:r>
              <w:rPr>
                <w:rFonts w:hint="default"/>
                <w:lang w:val="en-US" w:eastAsia="zh-CN"/>
              </w:rPr>
              <w:t>4 非传统水源管道和设备应设置明确、清晰的永久性标识。</w:t>
            </w:r>
          </w:p>
        </w:tc>
        <w:tc>
          <w:tcPr>
            <w:tcW w:w="3738" w:type="dxa"/>
            <w:vAlign w:val="center"/>
          </w:tcPr>
          <w:p>
            <w:pPr>
              <w:rPr>
                <w:rFonts w:hint="default"/>
                <w:lang w:val="en-US" w:eastAsia="zh-CN"/>
              </w:rPr>
            </w:pPr>
            <w:r>
              <w:rPr>
                <w:rFonts w:hint="default"/>
                <w:lang w:val="en-US" w:eastAsia="zh-CN"/>
              </w:rPr>
              <w:t>□给水排水专业施工图</w:t>
            </w:r>
          </w:p>
          <w:p>
            <w:pPr>
              <w:rPr>
                <w:rFonts w:hint="default"/>
                <w:lang w:val="en-US" w:eastAsia="zh-CN"/>
              </w:rPr>
            </w:pPr>
            <w:r>
              <w:rPr>
                <w:rFonts w:hint="default"/>
                <w:lang w:val="en-US" w:eastAsia="zh-CN"/>
              </w:rPr>
              <w:t>□产品质量证明文件</w:t>
            </w:r>
          </w:p>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□产品说明及合格证书</w:t>
            </w:r>
          </w:p>
          <w:p>
            <w:pPr>
              <w:rPr>
                <w:rFonts w:hint="default"/>
                <w:lang w:val="en-US" w:eastAsia="zh-CN"/>
              </w:rPr>
            </w:pPr>
            <w:r>
              <w:rPr>
                <w:rFonts w:hint="default"/>
                <w:lang w:val="en-US" w:eastAsia="zh-CN"/>
              </w:rPr>
              <w:t>□各用水部门水质检测报告、管理制度、工作记录</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r>
              <w:rPr>
                <w:rFonts w:hint="default"/>
                <w:lang w:val="en-US" w:eastAsia="zh-CN"/>
              </w:rPr>
              <w:t>健康舒适</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7.1.7</w:t>
            </w:r>
          </w:p>
        </w:tc>
        <w:tc>
          <w:tcPr>
            <w:tcW w:w="4362" w:type="dxa"/>
            <w:vAlign w:val="center"/>
          </w:tcPr>
          <w:p>
            <w:pPr>
              <w:rPr>
                <w:rFonts w:hint="default"/>
                <w:lang w:val="en-US" w:eastAsia="zh-CN"/>
              </w:rPr>
            </w:pPr>
            <w:r>
              <w:rPr>
                <w:rFonts w:hint="default"/>
                <w:lang w:val="en-US" w:eastAsia="zh-CN"/>
              </w:rPr>
              <w:t>应制定水资源利用方案，统筹利用各种水资源，并应符合下列规定：</w:t>
            </w:r>
          </w:p>
          <w:p>
            <w:pPr>
              <w:rPr>
                <w:rFonts w:hint="default"/>
                <w:lang w:val="en-US" w:eastAsia="zh-CN"/>
              </w:rPr>
            </w:pPr>
            <w:r>
              <w:rPr>
                <w:rFonts w:hint="default"/>
                <w:lang w:val="en-US" w:eastAsia="zh-CN"/>
              </w:rPr>
              <w:t>1 应按使用用途、付费或管理单元，分别设置用水计量装置；</w:t>
            </w:r>
          </w:p>
          <w:p>
            <w:pPr>
              <w:rPr>
                <w:rFonts w:hint="default"/>
                <w:lang w:val="en-US" w:eastAsia="zh-CN"/>
              </w:rPr>
            </w:pPr>
            <w:r>
              <w:rPr>
                <w:rFonts w:hint="default"/>
                <w:lang w:val="en-US" w:eastAsia="zh-CN"/>
              </w:rPr>
              <w:t>2 用水点处水压大于0．2MPa的配水支管应设置减压设施，并应满足给水配件最低工作压力的要求；</w:t>
            </w:r>
          </w:p>
          <w:p>
            <w:pPr>
              <w:rPr>
                <w:rFonts w:hint="default"/>
                <w:lang w:val="en-US" w:eastAsia="zh-CN"/>
              </w:rPr>
            </w:pPr>
            <w:r>
              <w:rPr>
                <w:rFonts w:hint="default"/>
                <w:lang w:val="en-US" w:eastAsia="zh-CN"/>
              </w:rPr>
              <w:t>3 用水器具和设备应满足节水产品的要求。</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□产品说明书或</w:t>
            </w:r>
          </w:p>
          <w:p>
            <w:pPr>
              <w:rPr>
                <w:rFonts w:hint="default"/>
                <w:lang w:val="en-US" w:eastAsia="zh-CN"/>
              </w:rPr>
            </w:pPr>
            <w:r>
              <w:rPr>
                <w:rFonts w:hint="default"/>
                <w:lang w:val="en-US" w:eastAsia="zh-CN"/>
              </w:rPr>
              <w:t>产品节水性能检测报告</w:t>
            </w:r>
          </w:p>
          <w:p>
            <w:pPr>
              <w:rPr>
                <w:rFonts w:hint="default"/>
                <w:lang w:val="en-US" w:eastAsia="zh-CN"/>
              </w:rPr>
            </w:pPr>
            <w:r>
              <w:rPr>
                <w:rFonts w:hint="default"/>
                <w:lang w:val="en-US" w:eastAsia="zh-CN"/>
              </w:rPr>
              <w:t>□现场检查</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8.1.4</w:t>
            </w:r>
          </w:p>
        </w:tc>
        <w:tc>
          <w:tcPr>
            <w:tcW w:w="4362" w:type="dxa"/>
            <w:vAlign w:val="center"/>
          </w:tcPr>
          <w:p>
            <w:pPr>
              <w:rPr>
                <w:rFonts w:hint="default"/>
                <w:lang w:val="en-US" w:eastAsia="zh-CN"/>
              </w:rPr>
            </w:pPr>
            <w:r>
              <w:rPr>
                <w:rFonts w:hint="default"/>
                <w:lang w:val="en-US" w:eastAsia="zh-CN"/>
              </w:rPr>
              <w:t>场地的竖向设计应有利于雨水的收集或排放，应有效组织雨水的下渗、滞蓄或再利用；对大于10hm2的场地应进行雨水控制利用专项设计。</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□海绵城市设计文件及相关计算书</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restart"/>
            <w:vAlign w:val="center"/>
          </w:tcPr>
          <w:p>
            <w:pPr>
              <w:rPr>
                <w:rFonts w:hint="default"/>
                <w:lang w:val="en-US" w:eastAsia="zh-CN"/>
              </w:rPr>
            </w:pPr>
            <w:r>
              <w:rPr>
                <w:rFonts w:hint="default"/>
                <w:lang w:val="en-US" w:eastAsia="zh-CN"/>
              </w:rPr>
              <w:t>评分项</w:t>
            </w:r>
          </w:p>
        </w:tc>
        <w:tc>
          <w:tcPr>
            <w:tcW w:w="1138" w:type="dxa"/>
            <w:vAlign w:val="center"/>
          </w:tcPr>
          <w:p>
            <w:pPr>
              <w:rPr>
                <w:rFonts w:hint="default"/>
                <w:lang w:val="en-US" w:eastAsia="zh-CN"/>
              </w:rPr>
            </w:pPr>
            <w:r>
              <w:rPr>
                <w:rFonts w:hint="default"/>
                <w:lang w:val="en-US" w:eastAsia="zh-CN"/>
              </w:rPr>
              <w:t>5.2.3</w:t>
            </w:r>
          </w:p>
        </w:tc>
        <w:tc>
          <w:tcPr>
            <w:tcW w:w="4362" w:type="dxa"/>
            <w:vAlign w:val="center"/>
          </w:tcPr>
          <w:p>
            <w:pPr>
              <w:rPr>
                <w:rFonts w:hint="default"/>
                <w:lang w:val="en-US" w:eastAsia="zh-CN"/>
              </w:rPr>
            </w:pPr>
            <w:r>
              <w:rPr>
                <w:rFonts w:hint="default"/>
                <w:lang w:val="en-US" w:eastAsia="zh-CN"/>
              </w:rPr>
              <w:t>直饮水、集中生活热水、游泳池水、采暖空调系统用水、景观水体等的水质满足国家现行有关标准的要求，评价分值为8分。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□水质检测报告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5.2.4</w:t>
            </w:r>
          </w:p>
        </w:tc>
        <w:tc>
          <w:tcPr>
            <w:tcW w:w="4362" w:type="dxa"/>
            <w:vAlign w:val="center"/>
          </w:tcPr>
          <w:p>
            <w:pPr>
              <w:rPr>
                <w:rFonts w:hint="default"/>
                <w:lang w:val="en-US" w:eastAsia="zh-CN"/>
              </w:rPr>
            </w:pPr>
            <w:r>
              <w:rPr>
                <w:rFonts w:hint="default"/>
                <w:lang w:val="en-US" w:eastAsia="zh-CN"/>
              </w:rPr>
              <w:t>生活饮用水水池、水箱等储水设施采取措施满足卫生要求，评价总分值为9分，并按下列规则分别评分并累计：</w:t>
            </w:r>
          </w:p>
          <w:p>
            <w:pPr>
              <w:rPr>
                <w:rFonts w:hint="default"/>
                <w:lang w:val="en-US" w:eastAsia="zh-CN"/>
              </w:rPr>
            </w:pPr>
            <w:r>
              <w:rPr>
                <w:rFonts w:hint="default"/>
                <w:lang w:val="en-US" w:eastAsia="zh-CN"/>
              </w:rPr>
              <w:t>使用符合国家现行有关标准要求的成品水箱，得4分；</w:t>
            </w:r>
          </w:p>
          <w:p>
            <w:pPr>
              <w:rPr>
                <w:rFonts w:hint="default"/>
                <w:lang w:val="en-US" w:eastAsia="zh-CN"/>
              </w:rPr>
            </w:pPr>
            <w:r>
              <w:rPr>
                <w:rFonts w:hint="default"/>
                <w:lang w:val="en-US" w:eastAsia="zh-CN"/>
              </w:rPr>
              <w:t>2、采取保证储水不变质的措施，得5分。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□标识设置说明</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 xml:space="preserve">5.2.5 </w:t>
            </w:r>
          </w:p>
        </w:tc>
        <w:tc>
          <w:tcPr>
            <w:tcW w:w="4362" w:type="dxa"/>
            <w:vAlign w:val="center"/>
          </w:tcPr>
          <w:p>
            <w:pPr>
              <w:rPr>
                <w:rFonts w:hint="default"/>
                <w:lang w:val="en-US" w:eastAsia="zh-CN"/>
              </w:rPr>
            </w:pPr>
            <w:r>
              <w:rPr>
                <w:rFonts w:hint="default"/>
                <w:lang w:val="en-US" w:eastAsia="zh-CN"/>
              </w:rPr>
              <w:t>所有给水排水管道、设备、设施设置明确、清晰的永久性标识，评价分值为8分。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□现场检查标识设置</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6.2.8</w:t>
            </w:r>
          </w:p>
        </w:tc>
        <w:tc>
          <w:tcPr>
            <w:tcW w:w="4362" w:type="dxa"/>
            <w:vAlign w:val="center"/>
          </w:tcPr>
          <w:p>
            <w:pPr>
              <w:rPr>
                <w:rFonts w:hint="default"/>
                <w:lang w:val="en-US" w:eastAsia="zh-CN"/>
              </w:rPr>
            </w:pPr>
            <w:r>
              <w:rPr>
                <w:rFonts w:hint="default"/>
                <w:lang w:val="en-US" w:eastAsia="zh-CN"/>
              </w:rPr>
              <w:t>设置用水远传计量系统、水质在线监测系统，评价总分值为7分，并按下列规则分别评分并累计：</w:t>
            </w:r>
          </w:p>
          <w:p>
            <w:pPr>
              <w:rPr>
                <w:rFonts w:hint="default"/>
                <w:lang w:val="en-US" w:eastAsia="zh-CN"/>
              </w:rPr>
            </w:pPr>
            <w:r>
              <w:rPr>
                <w:rFonts w:hint="default"/>
                <w:lang w:val="en-US" w:eastAsia="zh-CN"/>
              </w:rPr>
              <w:t>1 设置用水量远传计量系统，能分类、分级记录、统计分析各种用水情况，得3分；</w:t>
            </w:r>
          </w:p>
          <w:p>
            <w:pPr>
              <w:rPr>
                <w:rFonts w:hint="default"/>
                <w:lang w:val="en-US" w:eastAsia="zh-CN"/>
              </w:rPr>
            </w:pPr>
            <w:r>
              <w:rPr>
                <w:rFonts w:hint="default"/>
                <w:lang w:val="en-US" w:eastAsia="zh-CN"/>
              </w:rPr>
              <w:t>利用计量数据进行管网漏损自动检测、分析与整改，管道漏损率低于5％，得2分；</w:t>
            </w:r>
          </w:p>
          <w:p>
            <w:pPr>
              <w:rPr>
                <w:rFonts w:hint="default"/>
                <w:lang w:val="en-US" w:eastAsia="zh-CN"/>
              </w:rPr>
            </w:pPr>
            <w:r>
              <w:rPr>
                <w:rFonts w:hint="default"/>
                <w:lang w:val="en-US" w:eastAsia="zh-CN"/>
              </w:rPr>
              <w:t>3 设置水质在线监测系统，监测生活饮用水、管道直饮水、游泳池水、非传统水源、空调冷却水的水质指标，记录并保存水质监测结果，且能随时供用户查询，得2分。</w:t>
            </w:r>
          </w:p>
        </w:tc>
        <w:tc>
          <w:tcPr>
            <w:tcW w:w="3738" w:type="dxa"/>
            <w:vAlign w:val="center"/>
          </w:tcPr>
          <w:p>
            <w:pPr>
              <w:rPr>
                <w:rFonts w:hint="default"/>
                <w:lang w:val="en-US" w:eastAsia="zh-CN"/>
              </w:rPr>
            </w:pPr>
            <w:r>
              <w:rPr>
                <w:rFonts w:hint="default"/>
                <w:lang w:val="en-US" w:eastAsia="zh-CN"/>
              </w:rPr>
              <w:t>□给水排水专业竣工图及设计说明</w:t>
            </w:r>
          </w:p>
          <w:p>
            <w:pPr>
              <w:rPr>
                <w:rFonts w:hint="default"/>
                <w:lang w:val="en-US" w:eastAsia="zh-CN"/>
              </w:rPr>
            </w:pPr>
            <w:r>
              <w:rPr>
                <w:rFonts w:hint="default"/>
                <w:lang w:val="en-US" w:eastAsia="zh-CN"/>
              </w:rPr>
              <w:t>□相关管理制度或监测记录</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6.2.11</w:t>
            </w:r>
          </w:p>
        </w:tc>
        <w:tc>
          <w:tcPr>
            <w:tcW w:w="4362" w:type="dxa"/>
            <w:vAlign w:val="center"/>
          </w:tcPr>
          <w:p>
            <w:pPr>
              <w:rPr>
                <w:rFonts w:hint="default"/>
                <w:lang w:val="en-US" w:eastAsia="zh-CN"/>
              </w:rPr>
            </w:pPr>
            <w:r>
              <w:rPr>
                <w:rFonts w:hint="default"/>
                <w:lang w:val="en-US" w:eastAsia="zh-CN"/>
              </w:rPr>
              <w:t>建筑平均日用水量满足现行国家标准《民用建筑节水设计标准》GB 50555中节水用水定额的要求，评价总分值为5分，并按下列规则评分：</w:t>
            </w:r>
          </w:p>
          <w:p>
            <w:pPr>
              <w:rPr>
                <w:rFonts w:hint="default"/>
                <w:lang w:val="en-US" w:eastAsia="zh-CN"/>
              </w:rPr>
            </w:pPr>
            <w:r>
              <w:rPr>
                <w:rFonts w:hint="default"/>
                <w:lang w:val="en-US" w:eastAsia="zh-CN"/>
              </w:rPr>
              <w:t>1 平均日用水量大于节水用水定额的平均值、不大于上限值，得2分。2 平均日用水量大于节水用水定额下限值、不大于平均值，得3分。</w:t>
            </w:r>
          </w:p>
          <w:p>
            <w:pPr>
              <w:rPr>
                <w:rFonts w:hint="default"/>
                <w:lang w:val="en-US" w:eastAsia="zh-CN"/>
              </w:rPr>
            </w:pPr>
            <w:r>
              <w:rPr>
                <w:rFonts w:hint="default"/>
                <w:lang w:val="en-US" w:eastAsia="zh-CN"/>
              </w:rPr>
              <w:t>3 平均日用水量不大于节水用水定额下限值，得5分。</w:t>
            </w:r>
          </w:p>
        </w:tc>
        <w:tc>
          <w:tcPr>
            <w:tcW w:w="3738" w:type="dxa"/>
            <w:vAlign w:val="center"/>
          </w:tcPr>
          <w:p>
            <w:pPr>
              <w:rPr>
                <w:rFonts w:hint="default"/>
                <w:lang w:val="en-US" w:eastAsia="zh-CN"/>
              </w:rPr>
            </w:pPr>
            <w:r>
              <w:rPr>
                <w:rFonts w:hint="default"/>
                <w:lang w:val="en-US" w:eastAsia="zh-CN"/>
              </w:rPr>
              <w:t>□实测用水量计量报告</w:t>
            </w:r>
          </w:p>
          <w:p>
            <w:pPr>
              <w:rPr>
                <w:rFonts w:hint="default"/>
                <w:lang w:val="en-US" w:eastAsia="zh-CN"/>
              </w:rPr>
            </w:pPr>
            <w:r>
              <w:rPr>
                <w:rFonts w:hint="default"/>
                <w:lang w:val="en-US" w:eastAsia="zh-CN"/>
              </w:rPr>
              <w:t>□建筑平均日用水量计算书</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6.2.12（4）</w:t>
            </w:r>
          </w:p>
        </w:tc>
        <w:tc>
          <w:tcPr>
            <w:tcW w:w="4362" w:type="dxa"/>
            <w:vAlign w:val="center"/>
          </w:tcPr>
          <w:p>
            <w:pPr>
              <w:rPr>
                <w:rFonts w:hint="default"/>
                <w:lang w:val="en-US" w:eastAsia="zh-CN"/>
              </w:rPr>
            </w:pPr>
            <w:r>
              <w:rPr>
                <w:rFonts w:hint="default"/>
                <w:lang w:val="en-US" w:eastAsia="zh-CN"/>
              </w:rPr>
              <w:t>定期对各类用水水质进行检测、公示，得2分。</w:t>
            </w:r>
          </w:p>
        </w:tc>
        <w:tc>
          <w:tcPr>
            <w:tcW w:w="3738" w:type="dxa"/>
            <w:vAlign w:val="center"/>
          </w:tcPr>
          <w:p>
            <w:pPr>
              <w:rPr>
                <w:rFonts w:hint="default"/>
                <w:lang w:val="en-US" w:eastAsia="zh-CN"/>
              </w:rPr>
            </w:pPr>
            <w:r>
              <w:rPr>
                <w:rFonts w:hint="default"/>
                <w:lang w:val="en-US" w:eastAsia="zh-CN"/>
              </w:rPr>
              <w:t>□检测报告及公示报告</w:t>
            </w:r>
          </w:p>
          <w:p>
            <w:pPr>
              <w:rPr>
                <w:rFonts w:hint="default"/>
                <w:lang w:val="en-US" w:eastAsia="zh-CN"/>
              </w:rPr>
            </w:pPr>
            <w:r>
              <w:rPr>
                <w:rFonts w:hint="default"/>
                <w:lang w:val="en-US" w:eastAsia="zh-CN"/>
              </w:rPr>
              <w:t>□现场检查</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7.2.10</w:t>
            </w:r>
          </w:p>
        </w:tc>
        <w:tc>
          <w:tcPr>
            <w:tcW w:w="4362" w:type="dxa"/>
            <w:vAlign w:val="center"/>
          </w:tcPr>
          <w:p>
            <w:pPr>
              <w:rPr>
                <w:rFonts w:hint="default"/>
                <w:lang w:val="en-US" w:eastAsia="zh-CN"/>
              </w:rPr>
            </w:pPr>
            <w:r>
              <w:rPr>
                <w:rFonts w:hint="default"/>
                <w:lang w:val="en-US" w:eastAsia="zh-CN"/>
              </w:rPr>
              <w:t>使用较高用水效率等级的卫生器具，评价总分值为15分，并按下列规则评分：</w:t>
            </w:r>
          </w:p>
          <w:p>
            <w:pPr>
              <w:rPr>
                <w:rFonts w:hint="default"/>
                <w:lang w:val="en-US" w:eastAsia="zh-CN"/>
              </w:rPr>
            </w:pPr>
            <w:r>
              <w:rPr>
                <w:rFonts w:hint="default"/>
                <w:lang w:val="en-US" w:eastAsia="zh-CN"/>
              </w:rPr>
              <w:t>1 全部卫生器具的用水效率等级达到2级，得8分。</w:t>
            </w:r>
          </w:p>
          <w:p>
            <w:pPr>
              <w:rPr>
                <w:rFonts w:hint="default"/>
                <w:lang w:val="en-US" w:eastAsia="zh-CN"/>
              </w:rPr>
            </w:pPr>
            <w:r>
              <w:rPr>
                <w:rFonts w:hint="default"/>
                <w:lang w:val="en-US" w:eastAsia="zh-CN"/>
              </w:rPr>
              <w:t>2 50％以上卫生器具的用水效率等级达到1级且其他达到2级，得12分。</w:t>
            </w:r>
          </w:p>
          <w:p>
            <w:pPr>
              <w:rPr>
                <w:rFonts w:hint="default"/>
                <w:lang w:val="en-US" w:eastAsia="zh-CN"/>
              </w:rPr>
            </w:pPr>
            <w:r>
              <w:rPr>
                <w:rFonts w:hint="default"/>
                <w:lang w:val="en-US" w:eastAsia="zh-CN"/>
              </w:rPr>
              <w:t>3 全部卫生器具的用水效率等级达到1级，得15分。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□产品说明书</w:t>
            </w:r>
          </w:p>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□产品节水性能检测报告</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□一星级</w:t>
            </w:r>
          </w:p>
          <w:p>
            <w:pPr>
              <w:rPr>
                <w:rFonts w:hint="default"/>
                <w:lang w:val="en-US" w:eastAsia="zh-CN"/>
              </w:rPr>
            </w:pPr>
            <w:r>
              <w:rPr>
                <w:rFonts w:hint="default"/>
                <w:lang w:val="en-US" w:eastAsia="zh-CN"/>
              </w:rPr>
              <w:t>□二星级</w:t>
            </w:r>
          </w:p>
          <w:p>
            <w:pPr>
              <w:rPr>
                <w:rFonts w:hint="default"/>
                <w:lang w:val="en-US" w:eastAsia="zh-CN"/>
              </w:rPr>
            </w:pPr>
            <w:r>
              <w:rPr>
                <w:rFonts w:hint="default"/>
                <w:lang w:val="en-US" w:eastAsia="zh-CN"/>
              </w:rPr>
              <w:t>□三星级</w:t>
            </w:r>
          </w:p>
          <w:p>
            <w:pPr>
              <w:rPr>
                <w:rFonts w:hint="default"/>
                <w:lang w:val="en-US" w:eastAsia="zh-CN"/>
              </w:rPr>
            </w:pPr>
            <w:r>
              <w:rPr>
                <w:rFonts w:hint="default"/>
                <w:lang w:val="en-US" w:eastAsia="zh-CN"/>
              </w:rPr>
              <w:t>□不通过</w:t>
            </w: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7.2.11（1）</w:t>
            </w:r>
          </w:p>
        </w:tc>
        <w:tc>
          <w:tcPr>
            <w:tcW w:w="4362" w:type="dxa"/>
            <w:vAlign w:val="center"/>
          </w:tcPr>
          <w:p>
            <w:pPr>
              <w:rPr>
                <w:rFonts w:hint="default"/>
                <w:lang w:val="en-US" w:eastAsia="zh-CN"/>
              </w:rPr>
            </w:pPr>
            <w:r>
              <w:rPr>
                <w:rFonts w:hint="default"/>
                <w:lang w:val="en-US" w:eastAsia="zh-CN"/>
              </w:rPr>
              <w:t xml:space="preserve"> 绿化灌溉采用节水设备或技术，评价总分值为6分，并按下列规则分别评分并累计：</w:t>
            </w:r>
          </w:p>
          <w:p>
            <w:pPr>
              <w:rPr>
                <w:rFonts w:hint="default"/>
                <w:lang w:val="en-US" w:eastAsia="zh-CN"/>
              </w:rPr>
            </w:pPr>
            <w:r>
              <w:rPr>
                <w:rFonts w:hint="default"/>
                <w:lang w:val="en-US" w:eastAsia="zh-CN"/>
              </w:rPr>
              <w:t> 1 绿化灌溉采用节水设备或技术，并按下列规则评分：</w:t>
            </w:r>
            <w:r>
              <w:rPr>
                <w:rFonts w:hint="default"/>
                <w:lang w:val="en-US" w:eastAsia="zh-CN"/>
              </w:rPr>
              <w:br w:type="textWrapping"/>
            </w:r>
            <w:r>
              <w:rPr>
                <w:rFonts w:hint="default"/>
                <w:lang w:val="en-US" w:eastAsia="zh-CN"/>
              </w:rPr>
              <w:t>   1)采用节水灌溉系统，得4分。</w:t>
            </w:r>
            <w:r>
              <w:rPr>
                <w:rFonts w:hint="default"/>
                <w:lang w:val="en-US" w:eastAsia="zh-CN"/>
              </w:rPr>
              <w:br w:type="textWrapping"/>
            </w:r>
            <w:r>
              <w:rPr>
                <w:rFonts w:hint="default"/>
                <w:lang w:val="en-US" w:eastAsia="zh-CN"/>
              </w:rPr>
              <w:t>   2)在采用节水灌溉系统的基础上，设置土壤湿度感应器、雨天自动关闭装置等节水控制措施，或种植无须永久灌溉植物，得6分。</w:t>
            </w:r>
          </w:p>
        </w:tc>
        <w:tc>
          <w:tcPr>
            <w:tcW w:w="3738" w:type="dxa"/>
            <w:vAlign w:val="center"/>
          </w:tcPr>
          <w:p>
            <w:pPr>
              <w:rPr>
                <w:rFonts w:hint="default"/>
                <w:lang w:val="en-US" w:eastAsia="zh-CN"/>
              </w:rPr>
            </w:pPr>
            <w:r>
              <w:rPr>
                <w:rFonts w:hint="default"/>
                <w:lang w:val="en-US" w:eastAsia="zh-CN"/>
              </w:rPr>
              <w:t>□给水排水专业竣工图及设计说明</w:t>
            </w:r>
          </w:p>
          <w:p>
            <w:pPr>
              <w:rPr>
                <w:rFonts w:hint="default"/>
                <w:lang w:val="en-US" w:eastAsia="zh-CN"/>
              </w:rPr>
            </w:pPr>
            <w:r>
              <w:rPr>
                <w:rFonts w:hint="default"/>
                <w:lang w:val="en-US" w:eastAsia="zh-CN"/>
              </w:rPr>
              <w:t>□产品说明书</w:t>
            </w:r>
          </w:p>
          <w:p>
            <w:pPr>
              <w:rPr>
                <w:rFonts w:hint="default"/>
                <w:lang w:val="en-US" w:eastAsia="zh-CN"/>
              </w:rPr>
            </w:pPr>
            <w:r>
              <w:rPr>
                <w:rFonts w:hint="default"/>
                <w:lang w:val="en-US" w:eastAsia="zh-CN"/>
              </w:rPr>
              <w:t>□产品节水性能检测报告</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7.2.12</w:t>
            </w:r>
          </w:p>
        </w:tc>
        <w:tc>
          <w:tcPr>
            <w:tcW w:w="4362" w:type="dxa"/>
            <w:vAlign w:val="center"/>
          </w:tcPr>
          <w:p>
            <w:pPr>
              <w:rPr>
                <w:rFonts w:hint="default"/>
                <w:lang w:val="en-US" w:eastAsia="zh-CN"/>
              </w:rPr>
            </w:pPr>
            <w:r>
              <w:rPr>
                <w:rFonts w:hint="default"/>
                <w:lang w:val="en-US" w:eastAsia="zh-CN"/>
              </w:rPr>
              <w:t xml:space="preserve"> 结合雨水综合利用设施营造室外景观水体，室外景观水体利用雨水的补水量大于水体蒸发量的60％，且采用保障水体水质的生态水处理技术，评价总分值为8分，并按下列规则分别评分并累计： </w:t>
            </w:r>
          </w:p>
          <w:p>
            <w:pPr>
              <w:rPr>
                <w:rFonts w:hint="default"/>
                <w:lang w:val="en-US" w:eastAsia="zh-CN"/>
              </w:rPr>
            </w:pPr>
            <w:r>
              <w:rPr>
                <w:rFonts w:hint="default"/>
                <w:lang w:val="en-US" w:eastAsia="zh-CN"/>
              </w:rPr>
              <w:t> 1 对进入室外景观水体的雨水，利用生态设施削减径流污染，得4分；</w:t>
            </w:r>
            <w:r>
              <w:rPr>
                <w:rFonts w:hint="default"/>
                <w:lang w:val="en-US" w:eastAsia="zh-CN"/>
              </w:rPr>
              <w:br w:type="textWrapping"/>
            </w:r>
            <w:r>
              <w:rPr>
                <w:rFonts w:hint="default"/>
                <w:lang w:val="en-US" w:eastAsia="zh-CN"/>
              </w:rPr>
              <w:t> 2 利用水生动、植物保障室外景观水体水质，得4分。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□海绵城市设计文件</w:t>
            </w:r>
          </w:p>
          <w:p>
            <w:pPr>
              <w:rPr>
                <w:rFonts w:hint="default"/>
                <w:lang w:val="en-US" w:eastAsia="zh-CN"/>
              </w:rPr>
            </w:pPr>
            <w:r>
              <w:rPr>
                <w:rFonts w:hint="default"/>
                <w:lang w:val="en-US" w:eastAsia="zh-CN"/>
              </w:rPr>
              <w:t>□景观水体水质检测报告</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 xml:space="preserve">7.2.13 </w:t>
            </w:r>
          </w:p>
        </w:tc>
        <w:tc>
          <w:tcPr>
            <w:tcW w:w="4362" w:type="dxa"/>
            <w:vAlign w:val="center"/>
          </w:tcPr>
          <w:p>
            <w:pPr>
              <w:rPr>
                <w:rFonts w:hint="default"/>
                <w:lang w:val="en-US" w:eastAsia="zh-CN"/>
              </w:rPr>
            </w:pPr>
            <w:r>
              <w:rPr>
                <w:rFonts w:hint="default"/>
                <w:lang w:val="en-US" w:eastAsia="zh-CN"/>
              </w:rPr>
              <w:t>使用非传统水源，评价总分值为15分，并按下列规则分别评分并累计：</w:t>
            </w:r>
            <w:r>
              <w:rPr>
                <w:rFonts w:hint="default"/>
                <w:lang w:val="en-US" w:eastAsia="zh-CN"/>
              </w:rPr>
              <w:br w:type="textWrapping"/>
            </w:r>
            <w:r>
              <w:rPr>
                <w:rFonts w:hint="default"/>
                <w:lang w:val="en-US" w:eastAsia="zh-CN"/>
              </w:rPr>
              <w:t>    1 绿化灌溉、车库及道路冲洗、洗车用水采用非传统水源的用水量占其总用水量的比例不低于40％，得3分；不低于60％，得5分；</w:t>
            </w:r>
            <w:r>
              <w:rPr>
                <w:rFonts w:hint="default"/>
                <w:lang w:val="en-US" w:eastAsia="zh-CN"/>
              </w:rPr>
              <w:br w:type="textWrapping"/>
            </w:r>
            <w:r>
              <w:rPr>
                <w:rFonts w:hint="default"/>
                <w:lang w:val="en-US" w:eastAsia="zh-CN"/>
              </w:rPr>
              <w:t>    2 冲厕采用非传统水源的用水量占其总用水量的比例不低于30％，得3分；不低于50％，得5分；</w:t>
            </w:r>
            <w:r>
              <w:rPr>
                <w:rFonts w:hint="default"/>
                <w:lang w:val="en-US" w:eastAsia="zh-CN"/>
              </w:rPr>
              <w:br w:type="textWrapping"/>
            </w:r>
            <w:r>
              <w:rPr>
                <w:rFonts w:hint="default"/>
                <w:lang w:val="en-US" w:eastAsia="zh-CN"/>
              </w:rPr>
              <w:t>    3 冷却水补水采用非传统水源的用水量占其总用水量的比例不低于20％，得3分；不低于40％，得5分。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□非传统水源利用计算书</w:t>
            </w:r>
          </w:p>
          <w:p>
            <w:pPr>
              <w:rPr>
                <w:rFonts w:hint="default"/>
                <w:lang w:val="en-US" w:eastAsia="zh-CN"/>
              </w:rPr>
            </w:pPr>
            <w:r>
              <w:rPr>
                <w:rFonts w:hint="default"/>
                <w:lang w:val="en-US" w:eastAsia="zh-CN"/>
              </w:rPr>
              <w:t xml:space="preserve">□非传统水源水质检测报告 </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8.2.2</w:t>
            </w:r>
          </w:p>
        </w:tc>
        <w:tc>
          <w:tcPr>
            <w:tcW w:w="4362" w:type="dxa"/>
            <w:vAlign w:val="center"/>
          </w:tcPr>
          <w:p>
            <w:pPr>
              <w:rPr>
                <w:rFonts w:hint="default"/>
                <w:lang w:val="en-US" w:eastAsia="zh-CN"/>
              </w:rPr>
            </w:pPr>
            <w:r>
              <w:rPr>
                <w:rFonts w:hint="default"/>
                <w:lang w:val="en-US" w:eastAsia="zh-CN"/>
              </w:rPr>
              <w:t xml:space="preserve"> 规划场地地表和屋面雨水径流，对场地雨水实施外排总量控制，评价总分值为10分。场地年径流总量控制率达到55％，得5分；达到70％，得10分。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□海绵城市设计文件</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962" w:type="dxa"/>
            <w:vMerge w:val="continue"/>
            <w:vAlign w:val="center"/>
          </w:tcPr>
          <w:p>
            <w:pPr>
              <w:rPr>
                <w:rFonts w:hint="default"/>
                <w:lang w:val="en-US" w:eastAsia="zh-CN"/>
              </w:rPr>
            </w:pPr>
          </w:p>
        </w:tc>
        <w:tc>
          <w:tcPr>
            <w:tcW w:w="1138" w:type="dxa"/>
            <w:vAlign w:val="center"/>
          </w:tcPr>
          <w:p>
            <w:pPr>
              <w:rPr>
                <w:rFonts w:hint="default"/>
                <w:lang w:val="en-US" w:eastAsia="zh-CN"/>
              </w:rPr>
            </w:pPr>
            <w:r>
              <w:rPr>
                <w:rFonts w:hint="default"/>
                <w:lang w:val="en-US" w:eastAsia="zh-CN"/>
              </w:rPr>
              <w:t xml:space="preserve">8.2.5 </w:t>
            </w:r>
          </w:p>
        </w:tc>
        <w:tc>
          <w:tcPr>
            <w:tcW w:w="4362" w:type="dxa"/>
            <w:vAlign w:val="center"/>
          </w:tcPr>
          <w:p>
            <w:pPr>
              <w:rPr>
                <w:rFonts w:hint="default"/>
                <w:lang w:val="en-US" w:eastAsia="zh-CN"/>
              </w:rPr>
            </w:pPr>
            <w:r>
              <w:rPr>
                <w:rFonts w:hint="default"/>
                <w:lang w:val="en-US" w:eastAsia="zh-CN"/>
              </w:rPr>
              <w:t>利用场地空间设置绿色雨水基础设施，评价总分值为15分，并按下列规则分别评分并累计：</w:t>
            </w:r>
            <w:r>
              <w:rPr>
                <w:rFonts w:hint="default"/>
                <w:lang w:val="en-US" w:eastAsia="zh-CN"/>
              </w:rPr>
              <w:br w:type="textWrapping"/>
            </w:r>
            <w:r>
              <w:rPr>
                <w:rFonts w:hint="default"/>
                <w:lang w:val="en-US" w:eastAsia="zh-CN"/>
              </w:rPr>
              <w:t>    1 下凹式绿地、雨水花园等有调蓄雨水功能的绿地和水体的面积之和占绿地面积的比例达到40％，得3分；达到60％，得5分；</w:t>
            </w:r>
            <w:r>
              <w:rPr>
                <w:rFonts w:hint="default"/>
                <w:lang w:val="en-US" w:eastAsia="zh-CN"/>
              </w:rPr>
              <w:br w:type="textWrapping"/>
            </w:r>
            <w:r>
              <w:rPr>
                <w:rFonts w:hint="default"/>
                <w:lang w:val="en-US" w:eastAsia="zh-CN"/>
              </w:rPr>
              <w:t>    2 衔接和引导不少于80％的屋面雨水进入地面生态设施，得3分；</w:t>
            </w:r>
            <w:r>
              <w:rPr>
                <w:rFonts w:hint="default"/>
                <w:lang w:val="en-US" w:eastAsia="zh-CN"/>
              </w:rPr>
              <w:br w:type="textWrapping"/>
            </w:r>
            <w:r>
              <w:rPr>
                <w:rFonts w:hint="default"/>
                <w:lang w:val="en-US" w:eastAsia="zh-CN"/>
              </w:rPr>
              <w:t>    3 衔接和引导不少于80％的道路雨水进入地面生态设施，得4分；</w:t>
            </w:r>
            <w:r>
              <w:rPr>
                <w:rFonts w:hint="default"/>
                <w:lang w:val="en-US" w:eastAsia="zh-CN"/>
              </w:rPr>
              <w:br w:type="textWrapping"/>
            </w:r>
            <w:r>
              <w:rPr>
                <w:rFonts w:hint="default"/>
                <w:lang w:val="en-US" w:eastAsia="zh-CN"/>
              </w:rPr>
              <w:t>    4 硬质铺装地面中透水铺装面积的比例达到50％，得3分。</w:t>
            </w:r>
          </w:p>
        </w:tc>
        <w:tc>
          <w:tcPr>
            <w:tcW w:w="3738" w:type="dxa"/>
            <w:vAlign w:val="center"/>
          </w:tcPr>
          <w:p>
            <w:pPr>
              <w:rPr>
                <w:rFonts w:hint="default"/>
                <w:lang w:val="en-US" w:eastAsia="zh-CN"/>
              </w:rPr>
            </w:pPr>
            <w:r>
              <w:rPr>
                <w:rFonts w:hint="default"/>
                <w:lang w:val="en-US" w:eastAsia="zh-CN"/>
              </w:rPr>
              <w:t>□给水排水专业竣工图</w:t>
            </w:r>
          </w:p>
          <w:p>
            <w:pPr>
              <w:rPr>
                <w:rFonts w:hint="default"/>
                <w:lang w:val="en-US" w:eastAsia="zh-CN"/>
              </w:rPr>
            </w:pPr>
            <w:r>
              <w:rPr>
                <w:rFonts w:hint="default"/>
                <w:lang w:val="en-US" w:eastAsia="zh-CN"/>
              </w:rPr>
              <w:t>□海绵城市设计文件</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25"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3137" w:type="dxa"/>
            <w:gridSpan w:val="6"/>
            <w:vAlign w:val="center"/>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p>
          <w:p>
            <w:pPr>
              <w:rPr>
                <w:rFonts w:hint="default"/>
                <w:lang w:val="en-US" w:eastAsia="zh-CN"/>
              </w:rPr>
            </w:pPr>
            <w:r>
              <w:rPr>
                <w:rFonts w:hint="default"/>
                <w:lang w:val="en-US" w:eastAsia="zh-CN"/>
              </w:rPr>
              <w:t>日期：</w:t>
            </w:r>
          </w:p>
          <w:p>
            <w:pPr>
              <w:rPr>
                <w:rFonts w:hint="default"/>
                <w:lang w:val="en-US" w:eastAsia="zh-CN"/>
              </w:rPr>
            </w:pPr>
          </w:p>
        </w:tc>
      </w:tr>
    </w:tbl>
    <w:p>
      <w:pPr>
        <w:rPr>
          <w:rFonts w:hint="default"/>
          <w:lang w:val="en-US" w:eastAsia="zh-CN"/>
        </w:rPr>
      </w:pPr>
    </w:p>
    <w:p>
      <w:pPr>
        <w:rPr>
          <w:rFonts w:hint="default"/>
          <w:lang w:val="en-US" w:eastAsia="zh-CN"/>
        </w:rPr>
      </w:pPr>
    </w:p>
    <w:p>
      <w:pPr>
        <w:jc w:val="center"/>
        <w:rPr>
          <w:rFonts w:hint="default"/>
          <w:sz w:val="28"/>
          <w:szCs w:val="36"/>
          <w:lang w:val="en-US" w:eastAsia="zh-CN"/>
        </w:rPr>
      </w:pPr>
      <w:r>
        <w:rPr>
          <w:rFonts w:hint="default"/>
          <w:sz w:val="28"/>
          <w:szCs w:val="36"/>
          <w:lang w:val="en-US" w:eastAsia="zh-CN"/>
        </w:rPr>
        <w:t>绿色建筑工程验收专家评审意见表——通风与空调工程</w:t>
      </w:r>
    </w:p>
    <w:tbl>
      <w:tblPr>
        <w:tblStyle w:val="2"/>
        <w:tblW w:w="1313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50"/>
        <w:gridCol w:w="4350"/>
        <w:gridCol w:w="3725"/>
        <w:gridCol w:w="162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rPr>
                <w:rFonts w:hint="default"/>
                <w:lang w:val="en-US" w:eastAsia="zh-CN"/>
              </w:rPr>
            </w:pPr>
            <w:r>
              <w:rPr>
                <w:rFonts w:hint="default"/>
                <w:lang w:val="en-US" w:eastAsia="zh-CN"/>
              </w:rPr>
              <w:t>类别</w:t>
            </w:r>
          </w:p>
        </w:tc>
        <w:tc>
          <w:tcPr>
            <w:tcW w:w="1150" w:type="dxa"/>
            <w:vAlign w:val="center"/>
          </w:tcPr>
          <w:p>
            <w:pPr>
              <w:rPr>
                <w:rFonts w:hint="default"/>
                <w:lang w:val="en-US" w:eastAsia="zh-CN"/>
              </w:rPr>
            </w:pPr>
            <w:r>
              <w:rPr>
                <w:rFonts w:hint="default"/>
                <w:lang w:val="en-US" w:eastAsia="zh-CN"/>
              </w:rPr>
              <w:t>评价标准条文编号</w:t>
            </w:r>
          </w:p>
        </w:tc>
        <w:tc>
          <w:tcPr>
            <w:tcW w:w="4350" w:type="dxa"/>
            <w:vAlign w:val="center"/>
          </w:tcPr>
          <w:p>
            <w:pPr>
              <w:rPr>
                <w:rFonts w:hint="default"/>
                <w:lang w:val="en-US" w:eastAsia="zh-CN"/>
              </w:rPr>
            </w:pPr>
            <w:r>
              <w:rPr>
                <w:rFonts w:hint="default"/>
                <w:lang w:val="en-US" w:eastAsia="zh-CN"/>
              </w:rPr>
              <w:t>条文内容及分值</w:t>
            </w:r>
          </w:p>
        </w:tc>
        <w:tc>
          <w:tcPr>
            <w:tcW w:w="3725" w:type="dxa"/>
            <w:vAlign w:val="center"/>
          </w:tcPr>
          <w:p>
            <w:pPr>
              <w:rPr>
                <w:rFonts w:hint="default"/>
                <w:lang w:val="en-US" w:eastAsia="zh-CN"/>
              </w:rPr>
            </w:pPr>
            <w:r>
              <w:rPr>
                <w:rFonts w:hint="default"/>
                <w:lang w:val="en-US" w:eastAsia="zh-CN"/>
              </w:rPr>
              <w:t>证明文件</w:t>
            </w:r>
          </w:p>
        </w:tc>
        <w:tc>
          <w:tcPr>
            <w:tcW w:w="1625" w:type="dxa"/>
            <w:vAlign w:val="center"/>
          </w:tcPr>
          <w:p>
            <w:pPr>
              <w:rPr>
                <w:rFonts w:hint="default"/>
                <w:lang w:val="en-US" w:eastAsia="zh-CN"/>
              </w:rPr>
            </w:pPr>
            <w:r>
              <w:rPr>
                <w:rFonts w:hint="default"/>
                <w:lang w:val="en-US" w:eastAsia="zh-CN"/>
              </w:rPr>
              <w:t>评审结果</w:t>
            </w:r>
          </w:p>
        </w:tc>
        <w:tc>
          <w:tcPr>
            <w:tcW w:w="1338"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0" w:type="dxa"/>
            <w:vMerge w:val="restart"/>
            <w:vAlign w:val="center"/>
          </w:tcPr>
          <w:p>
            <w:pPr>
              <w:rPr>
                <w:rFonts w:hint="default"/>
                <w:lang w:val="en-US" w:eastAsia="zh-CN"/>
              </w:rPr>
            </w:pPr>
            <w:r>
              <w:rPr>
                <w:rFonts w:hint="default"/>
                <w:lang w:val="en-US" w:eastAsia="zh-CN"/>
              </w:rPr>
              <w:t>控制项</w:t>
            </w:r>
          </w:p>
        </w:tc>
        <w:tc>
          <w:tcPr>
            <w:tcW w:w="1150" w:type="dxa"/>
            <w:vAlign w:val="center"/>
          </w:tcPr>
          <w:p>
            <w:pPr>
              <w:rPr>
                <w:rFonts w:hint="default"/>
                <w:lang w:val="en-US" w:eastAsia="zh-CN"/>
              </w:rPr>
            </w:pPr>
            <w:r>
              <w:rPr>
                <w:rFonts w:hint="default"/>
                <w:lang w:val="en-US" w:eastAsia="zh-CN"/>
              </w:rPr>
              <w:t>5.1.6</w:t>
            </w:r>
          </w:p>
        </w:tc>
        <w:tc>
          <w:tcPr>
            <w:tcW w:w="4350" w:type="dxa"/>
            <w:vAlign w:val="center"/>
          </w:tcPr>
          <w:p>
            <w:pPr>
              <w:rPr>
                <w:rFonts w:hint="default"/>
                <w:lang w:val="en-US" w:eastAsia="zh-CN"/>
              </w:rPr>
            </w:pPr>
            <w:r>
              <w:rPr>
                <w:rFonts w:hint="default"/>
                <w:lang w:val="en-US" w:eastAsia="zh-CN"/>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□室内温湿度检测报告</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5.1.8</w:t>
            </w:r>
          </w:p>
        </w:tc>
        <w:tc>
          <w:tcPr>
            <w:tcW w:w="4350" w:type="dxa"/>
            <w:vAlign w:val="center"/>
          </w:tcPr>
          <w:p>
            <w:pPr>
              <w:rPr>
                <w:rFonts w:hint="default"/>
                <w:lang w:val="en-US" w:eastAsia="zh-CN"/>
              </w:rPr>
            </w:pPr>
            <w:r>
              <w:rPr>
                <w:rFonts w:hint="default"/>
                <w:lang w:val="en-US" w:eastAsia="zh-CN"/>
              </w:rPr>
              <w:t>主要功能房间应具有现场独立控制的热环境调节装置。</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□产品说明书</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7.1.2</w:t>
            </w:r>
          </w:p>
        </w:tc>
        <w:tc>
          <w:tcPr>
            <w:tcW w:w="4350" w:type="dxa"/>
            <w:vAlign w:val="center"/>
          </w:tcPr>
          <w:p>
            <w:pPr>
              <w:rPr>
                <w:rFonts w:hint="default"/>
                <w:lang w:val="en-US" w:eastAsia="zh-CN"/>
              </w:rPr>
            </w:pPr>
            <w:r>
              <w:rPr>
                <w:rFonts w:hint="default"/>
                <w:lang w:val="en-US" w:eastAsia="zh-CN"/>
              </w:rPr>
              <w:t>应采取措施降低部分负荷、部分空间使用下的供暖、空调系统能耗，并应符合下列规定：</w:t>
            </w:r>
            <w:r>
              <w:rPr>
                <w:rFonts w:hint="default"/>
                <w:lang w:val="en-US" w:eastAsia="zh-CN"/>
              </w:rPr>
              <w:br w:type="textWrapping"/>
            </w:r>
            <w:r>
              <w:rPr>
                <w:rFonts w:hint="default"/>
                <w:lang w:val="en-US" w:eastAsia="zh-CN"/>
              </w:rPr>
              <w:t>1 应区分房间的朝向细分供暖、空调区域，并应对系统进行分区控制；</w:t>
            </w:r>
            <w:r>
              <w:rPr>
                <w:rFonts w:hint="default"/>
                <w:lang w:val="en-US" w:eastAsia="zh-CN"/>
              </w:rPr>
              <w:br w:type="textWrapping"/>
            </w:r>
            <w:r>
              <w:rPr>
                <w:rFonts w:hint="default"/>
                <w:lang w:val="en-US" w:eastAsia="zh-CN"/>
              </w:rPr>
              <w:t>2 空调冷源的部分负荷性能系数(IPLV)、电冷源综合制冷性能系数(SCOP)应符合现行国家标准《公共建筑节能设计标准》GB 50189的规定。</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□部分负荷性能系数(IPLV)计算说明</w:t>
            </w:r>
          </w:p>
          <w:p>
            <w:pPr>
              <w:rPr>
                <w:rFonts w:hint="default"/>
                <w:lang w:val="en-US" w:eastAsia="zh-CN"/>
              </w:rPr>
            </w:pPr>
            <w:r>
              <w:rPr>
                <w:rFonts w:hint="default"/>
                <w:lang w:val="en-US" w:eastAsia="zh-CN"/>
              </w:rPr>
              <w:t>□冷源综合制冷性能系数(SCOP)计算说明</w:t>
            </w:r>
          </w:p>
          <w:p>
            <w:pPr>
              <w:rPr>
                <w:rFonts w:hint="default"/>
                <w:lang w:val="en-US" w:eastAsia="zh-CN"/>
              </w:rPr>
            </w:pPr>
            <w:r>
              <w:rPr>
                <w:rFonts w:hint="default"/>
                <w:lang w:val="en-US" w:eastAsia="zh-CN"/>
              </w:rPr>
              <w:t>□冷热源设备产品质量证明文件</w:t>
            </w:r>
          </w:p>
          <w:p>
            <w:pPr>
              <w:rPr>
                <w:rFonts w:hint="default"/>
                <w:lang w:val="en-US" w:eastAsia="zh-CN"/>
              </w:rPr>
            </w:pPr>
            <w:r>
              <w:rPr>
                <w:rFonts w:hint="default"/>
                <w:lang w:val="en-US" w:eastAsia="zh-CN"/>
              </w:rPr>
              <w:t>□冷（热）源系统试运转记录</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7.1.3</w:t>
            </w:r>
          </w:p>
        </w:tc>
        <w:tc>
          <w:tcPr>
            <w:tcW w:w="4350" w:type="dxa"/>
            <w:vAlign w:val="center"/>
          </w:tcPr>
          <w:p>
            <w:pPr>
              <w:rPr>
                <w:rFonts w:hint="default"/>
                <w:lang w:val="en-US" w:eastAsia="zh-CN"/>
              </w:rPr>
            </w:pPr>
            <w:r>
              <w:rPr>
                <w:rFonts w:hint="default"/>
                <w:lang w:val="en-US" w:eastAsia="zh-CN"/>
              </w:rPr>
              <w:t>应根据建筑空间功能设置分区温度，合理降低室内过渡区空间的温度设定标准。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□计算书</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50" w:type="dxa"/>
            <w:vMerge w:val="restart"/>
            <w:vAlign w:val="center"/>
          </w:tcPr>
          <w:p>
            <w:pPr>
              <w:rPr>
                <w:rFonts w:hint="default"/>
                <w:lang w:val="en-US" w:eastAsia="zh-CN"/>
              </w:rPr>
            </w:pPr>
            <w:r>
              <w:rPr>
                <w:rFonts w:hint="default"/>
                <w:lang w:val="en-US" w:eastAsia="zh-CN"/>
              </w:rPr>
              <w:t>评分项</w:t>
            </w:r>
          </w:p>
        </w:tc>
        <w:tc>
          <w:tcPr>
            <w:tcW w:w="1150" w:type="dxa"/>
            <w:vAlign w:val="center"/>
          </w:tcPr>
          <w:p>
            <w:pPr>
              <w:rPr>
                <w:rFonts w:hint="default"/>
                <w:lang w:val="en-US" w:eastAsia="zh-CN"/>
              </w:rPr>
            </w:pPr>
            <w:r>
              <w:rPr>
                <w:rFonts w:hint="default"/>
                <w:lang w:val="en-US" w:eastAsia="zh-CN"/>
              </w:rPr>
              <w:t>5.2.9</w:t>
            </w:r>
          </w:p>
        </w:tc>
        <w:tc>
          <w:tcPr>
            <w:tcW w:w="4350" w:type="dxa"/>
            <w:vAlign w:val="center"/>
          </w:tcPr>
          <w:p>
            <w:pPr>
              <w:rPr>
                <w:rFonts w:hint="default"/>
                <w:lang w:val="en-US" w:eastAsia="zh-CN"/>
              </w:rPr>
            </w:pPr>
            <w:r>
              <w:rPr>
                <w:rFonts w:hint="default"/>
                <w:lang w:val="en-US" w:eastAsia="zh-CN"/>
              </w:rPr>
              <w:t xml:space="preserve">具有良好的室内热湿环境，评价总分值为8分，并按下列规则评分： </w:t>
            </w:r>
          </w:p>
          <w:p>
            <w:pPr>
              <w:rPr>
                <w:rFonts w:hint="default"/>
                <w:lang w:val="en-US" w:eastAsia="zh-CN"/>
              </w:rPr>
            </w:pPr>
            <w:r>
              <w:rPr>
                <w:rFonts w:hint="default"/>
                <w:lang w:val="en-US" w:eastAsia="zh-CN"/>
              </w:rPr>
              <w:t xml:space="preserve">1 采用自然通风或复合通风的建筑，建筑主要功能房间室内热环境参数在适应性热舒适区域的时间比例，达到 30%,得2分；每再增加10%, 再得1分，最高得8分。 </w:t>
            </w:r>
          </w:p>
          <w:p>
            <w:pPr>
              <w:rPr>
                <w:rFonts w:hint="default"/>
                <w:lang w:val="en-US" w:eastAsia="zh-CN"/>
              </w:rPr>
            </w:pPr>
            <w:r>
              <w:rPr>
                <w:rFonts w:hint="default"/>
                <w:lang w:val="en-US" w:eastAsia="zh-CN"/>
              </w:rPr>
              <w:t>2 采用人工冷热源的建筑，主要功能房间达到现行国家标准《民用建筑室内热湿环境评价标准》 GB/T 50785 规定的室内人工冷热源热湿环境整体评价Ⅱ级的面积比例，达到60%,得5 分；每再增加 10%, 再得1分，最高得8分。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□计算分析报告</w:t>
            </w:r>
          </w:p>
          <w:p>
            <w:pPr>
              <w:rPr>
                <w:rFonts w:hint="default"/>
                <w:lang w:val="en-US" w:eastAsia="zh-CN"/>
              </w:rPr>
            </w:pPr>
            <w:r>
              <w:rPr>
                <w:rFonts w:hint="default"/>
                <w:lang w:val="en-US" w:eastAsia="zh-CN"/>
              </w:rPr>
              <w:t xml:space="preserve"> </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7.2.5</w:t>
            </w:r>
          </w:p>
        </w:tc>
        <w:tc>
          <w:tcPr>
            <w:tcW w:w="4350" w:type="dxa"/>
            <w:vAlign w:val="center"/>
          </w:tcPr>
          <w:p>
            <w:pPr>
              <w:rPr>
                <w:rFonts w:hint="default"/>
                <w:lang w:val="en-US" w:eastAsia="zh-CN"/>
              </w:rPr>
            </w:pPr>
            <w:r>
              <w:rPr>
                <w:rFonts w:hint="default"/>
                <w:lang w:val="en-US" w:eastAsia="zh-CN"/>
              </w:rPr>
              <w:t>供暖空调系统的冷、热源机组能效均优于现行国家标准《公共建筑节能设计标准》GB 50189的规定以及现行有关国家标准能效限定值的要求，评价总分值为10分，按表7.2.5的规则评分。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□冷热源设备产品质量证明文件和主要产品型式检验报告</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7.2.6</w:t>
            </w:r>
          </w:p>
        </w:tc>
        <w:tc>
          <w:tcPr>
            <w:tcW w:w="4350" w:type="dxa"/>
            <w:vAlign w:val="center"/>
          </w:tcPr>
          <w:p>
            <w:pPr>
              <w:rPr>
                <w:rFonts w:hint="default"/>
                <w:lang w:val="en-US" w:eastAsia="zh-CN"/>
              </w:rPr>
            </w:pPr>
            <w:r>
              <w:rPr>
                <w:rFonts w:hint="default"/>
                <w:lang w:val="en-US" w:eastAsia="zh-CN"/>
              </w:rPr>
              <w:t>采取有效措施降低供暖空调系统的末端系统及输配系统的能耗，评价总分值为5分，并按以下规则分别评分并累计：</w:t>
            </w:r>
            <w:r>
              <w:rPr>
                <w:rFonts w:hint="default"/>
                <w:lang w:val="en-US" w:eastAsia="zh-CN"/>
              </w:rPr>
              <w:br w:type="textWrapping"/>
            </w:r>
            <w:r>
              <w:rPr>
                <w:rFonts w:hint="default"/>
                <w:lang w:val="en-US" w:eastAsia="zh-CN"/>
              </w:rPr>
              <w:t>1 通风空调系统风机的单位风量耗功率比现行国家标准《公共建筑节能设计标准》GB 50189的规定低20％，得2分；</w:t>
            </w:r>
            <w:r>
              <w:rPr>
                <w:rFonts w:hint="default"/>
                <w:lang w:val="en-US" w:eastAsia="zh-CN"/>
              </w:rPr>
              <w:br w:type="textWrapping"/>
            </w:r>
            <w:r>
              <w:rPr>
                <w:rFonts w:hint="default"/>
                <w:lang w:val="en-US" w:eastAsia="zh-CN"/>
              </w:rPr>
              <w:t>2 集中供暖系统热水循环泵的耗电输热比、空调冷热水系统循环水泵的耗电输冷(热)比比现行国家标准《民用建筑供暖通风与空气调节设计规范》GB 50736规定值低20％，得3分。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□主要产品型式检验报告</w:t>
            </w:r>
          </w:p>
          <w:p>
            <w:pPr>
              <w:rPr>
                <w:rFonts w:hint="default"/>
                <w:lang w:val="en-US" w:eastAsia="zh-CN"/>
              </w:rPr>
            </w:pPr>
            <w:r>
              <w:rPr>
                <w:rFonts w:hint="default"/>
                <w:lang w:val="en-US" w:eastAsia="zh-CN"/>
              </w:rPr>
              <w:t>□水系统、通风空调系统试运转记录</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7.2.8</w:t>
            </w:r>
          </w:p>
        </w:tc>
        <w:tc>
          <w:tcPr>
            <w:tcW w:w="4350" w:type="dxa"/>
            <w:vAlign w:val="center"/>
          </w:tcPr>
          <w:p>
            <w:pPr>
              <w:rPr>
                <w:rFonts w:hint="default"/>
                <w:lang w:val="en-US" w:eastAsia="zh-CN"/>
              </w:rPr>
            </w:pPr>
            <w:r>
              <w:rPr>
                <w:rFonts w:hint="default"/>
                <w:lang w:val="en-US" w:eastAsia="zh-CN"/>
              </w:rPr>
              <w:t>采取措施降低建筑能耗，评价总分值为10分。建筑能耗相比国家现行有关建筑节能标准降10%, 得5分；降低 20%,得10 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□能耗模拟计算书，暖通系统运行调试记录</w:t>
            </w:r>
          </w:p>
          <w:p>
            <w:pPr>
              <w:rPr>
                <w:rFonts w:hint="default"/>
                <w:lang w:val="en-US" w:eastAsia="zh-CN"/>
              </w:rPr>
            </w:pPr>
            <w:r>
              <w:rPr>
                <w:rFonts w:hint="default"/>
                <w:lang w:val="en-US" w:eastAsia="zh-CN"/>
              </w:rPr>
              <w:t>□建筑运行能耗统计（已投入使用项目）</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7.2.9</w:t>
            </w:r>
          </w:p>
        </w:tc>
        <w:tc>
          <w:tcPr>
            <w:tcW w:w="4350" w:type="dxa"/>
            <w:vAlign w:val="center"/>
          </w:tcPr>
          <w:p>
            <w:pPr>
              <w:rPr>
                <w:rFonts w:hint="default"/>
                <w:lang w:val="en-US" w:eastAsia="zh-CN"/>
              </w:rPr>
            </w:pPr>
            <w:r>
              <w:rPr>
                <w:rFonts w:hint="default"/>
                <w:lang w:val="en-US" w:eastAsia="zh-CN"/>
              </w:rPr>
              <w:t>结合当地气候和自然资源条件合理利用可再生能源，评价总分值为10分，按表7.2.9的规则评分。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□可再生能源利用计算分析报告</w:t>
            </w:r>
          </w:p>
          <w:p>
            <w:pPr>
              <w:rPr>
                <w:rFonts w:hint="default"/>
                <w:lang w:val="en-US" w:eastAsia="zh-CN"/>
              </w:rPr>
            </w:pPr>
            <w:r>
              <w:rPr>
                <w:rFonts w:hint="default"/>
                <w:lang w:val="en-US" w:eastAsia="zh-CN"/>
              </w:rPr>
              <w:t>□产品型式检验报告</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7.2.11（2）</w:t>
            </w:r>
          </w:p>
        </w:tc>
        <w:tc>
          <w:tcPr>
            <w:tcW w:w="4350" w:type="dxa"/>
            <w:vAlign w:val="center"/>
          </w:tcPr>
          <w:p>
            <w:pPr>
              <w:rPr>
                <w:rFonts w:hint="default"/>
                <w:lang w:val="en-US" w:eastAsia="zh-CN"/>
              </w:rPr>
            </w:pPr>
            <w:r>
              <w:rPr>
                <w:rFonts w:hint="default"/>
                <w:lang w:val="en-US" w:eastAsia="zh-CN"/>
              </w:rPr>
              <w:t>空调冷却水系统采用节水设备或技术，评价总分值为12分，并按下列规则分别评分并累计：</w:t>
            </w:r>
            <w:r>
              <w:rPr>
                <w:rFonts w:hint="default"/>
                <w:lang w:val="en-US" w:eastAsia="zh-CN"/>
              </w:rPr>
              <w:br w:type="textWrapping"/>
            </w:r>
            <w:r>
              <w:rPr>
                <w:rFonts w:hint="default"/>
                <w:lang w:val="en-US" w:eastAsia="zh-CN"/>
              </w:rPr>
              <w:t>2 空调冷却水系统采用节水设备或技术，并按下列规则评分：</w:t>
            </w:r>
            <w:r>
              <w:rPr>
                <w:rFonts w:hint="default"/>
                <w:lang w:val="en-US" w:eastAsia="zh-CN"/>
              </w:rPr>
              <w:br w:type="textWrapping"/>
            </w:r>
            <w:r>
              <w:rPr>
                <w:rFonts w:hint="default"/>
                <w:lang w:val="en-US" w:eastAsia="zh-CN"/>
              </w:rPr>
              <w:t>1)循环冷却水系统采取设置水处理措施、加大集水盘、设置平衡管或平衡水箱等方式，避免冷却水泵停泵时冷却水溢出，得3分。</w:t>
            </w:r>
          </w:p>
          <w:p>
            <w:pPr>
              <w:rPr>
                <w:rFonts w:hint="default"/>
                <w:lang w:val="en-US" w:eastAsia="zh-CN"/>
              </w:rPr>
            </w:pPr>
            <w:r>
              <w:rPr>
                <w:rFonts w:hint="default"/>
                <w:lang w:val="en-US" w:eastAsia="zh-CN"/>
              </w:rPr>
              <w:t>2)采用无蒸发耗水量的冷却技术，得6分。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□产品说明书</w:t>
            </w:r>
          </w:p>
          <w:p>
            <w:pPr>
              <w:rPr>
                <w:rFonts w:hint="default"/>
                <w:lang w:val="en-US" w:eastAsia="zh-CN"/>
              </w:rPr>
            </w:pPr>
            <w:r>
              <w:rPr>
                <w:rFonts w:hint="default"/>
                <w:lang w:val="en-US" w:eastAsia="zh-CN"/>
              </w:rPr>
              <w:t>□产品节水性能检测报告</w:t>
            </w:r>
          </w:p>
          <w:p>
            <w:pPr>
              <w:rPr>
                <w:rFonts w:hint="default"/>
                <w:lang w:val="en-US" w:eastAsia="zh-CN"/>
              </w:rPr>
            </w:pPr>
            <w:r>
              <w:rPr>
                <w:rFonts w:hint="default"/>
                <w:lang w:val="en-US" w:eastAsia="zh-CN"/>
              </w:rPr>
              <w:t>□节水产品说明书</w:t>
            </w:r>
          </w:p>
          <w:p>
            <w:pPr>
              <w:rPr>
                <w:rFonts w:hint="default"/>
                <w:lang w:val="en-US" w:eastAsia="zh-CN"/>
              </w:rPr>
            </w:pP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0"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9.2.1</w:t>
            </w:r>
          </w:p>
        </w:tc>
        <w:tc>
          <w:tcPr>
            <w:tcW w:w="4350" w:type="dxa"/>
            <w:vAlign w:val="center"/>
          </w:tcPr>
          <w:p>
            <w:pPr>
              <w:rPr>
                <w:rFonts w:hint="default"/>
                <w:lang w:val="en-US" w:eastAsia="zh-CN"/>
              </w:rPr>
            </w:pPr>
            <w:r>
              <w:rPr>
                <w:rFonts w:hint="default"/>
                <w:lang w:val="en-US" w:eastAsia="zh-CN"/>
              </w:rPr>
              <w:t>采取措施进一步降低建筑供暖空调系统的能耗，评价总分值为30分。建筑供暖空调系统能耗相比国家现行有关建筑节能标准降低40％，得10分；每再降低10％，再得5分，最高得30分。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□相关设计说明</w:t>
            </w:r>
          </w:p>
          <w:p>
            <w:pPr>
              <w:rPr>
                <w:rFonts w:hint="default"/>
                <w:lang w:val="en-US" w:eastAsia="zh-CN"/>
              </w:rPr>
            </w:pPr>
            <w:r>
              <w:rPr>
                <w:rFonts w:hint="default"/>
                <w:lang w:val="en-US" w:eastAsia="zh-CN"/>
              </w:rPr>
              <w:t>□节能计算书</w:t>
            </w:r>
          </w:p>
          <w:p>
            <w:pPr>
              <w:rPr>
                <w:rFonts w:hint="default"/>
                <w:lang w:val="en-US" w:eastAsia="zh-CN"/>
              </w:rPr>
            </w:pPr>
            <w:r>
              <w:rPr>
                <w:rFonts w:hint="default"/>
                <w:lang w:val="en-US" w:eastAsia="zh-CN"/>
              </w:rPr>
              <w:t>□建筑综合能耗节能率分析报告</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trPr>
        <w:tc>
          <w:tcPr>
            <w:tcW w:w="13138" w:type="dxa"/>
            <w:gridSpan w:val="6"/>
            <w:vAlign w:val="center"/>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p>
          <w:p>
            <w:pPr>
              <w:rPr>
                <w:rFonts w:hint="default"/>
                <w:lang w:val="en-US" w:eastAsia="zh-CN"/>
              </w:rPr>
            </w:pPr>
            <w:r>
              <w:rPr>
                <w:rFonts w:hint="default"/>
                <w:lang w:val="en-US" w:eastAsia="zh-CN"/>
              </w:rPr>
              <w:t>日期：</w:t>
            </w:r>
          </w:p>
          <w:p>
            <w:pPr>
              <w:rPr>
                <w:rFonts w:hint="default"/>
                <w:lang w:val="en-US" w:eastAsia="zh-CN"/>
              </w:rPr>
            </w:pPr>
          </w:p>
        </w:tc>
      </w:tr>
    </w:tbl>
    <w:p>
      <w:pPr>
        <w:jc w:val="center"/>
        <w:rPr>
          <w:rFonts w:hint="default"/>
          <w:sz w:val="24"/>
          <w:szCs w:val="32"/>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r>
        <w:rPr>
          <w:rFonts w:hint="default"/>
          <w:sz w:val="28"/>
          <w:szCs w:val="36"/>
          <w:lang w:val="en-US" w:eastAsia="zh-CN"/>
        </w:rPr>
        <w:t>绿色建筑工程验收专家评审意见表——建筑电气与智能建筑</w:t>
      </w:r>
    </w:p>
    <w:tbl>
      <w:tblPr>
        <w:tblStyle w:val="2"/>
        <w:tblW w:w="13112"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50"/>
        <w:gridCol w:w="4350"/>
        <w:gridCol w:w="3738"/>
        <w:gridCol w:w="162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rPr>
                <w:rFonts w:hint="default"/>
                <w:lang w:val="en-US" w:eastAsia="zh-CN"/>
              </w:rPr>
            </w:pPr>
            <w:r>
              <w:rPr>
                <w:rFonts w:hint="default"/>
                <w:lang w:val="en-US" w:eastAsia="zh-CN"/>
              </w:rPr>
              <w:t>类别</w:t>
            </w:r>
          </w:p>
        </w:tc>
        <w:tc>
          <w:tcPr>
            <w:tcW w:w="1150" w:type="dxa"/>
            <w:vAlign w:val="center"/>
          </w:tcPr>
          <w:p>
            <w:pPr>
              <w:rPr>
                <w:rFonts w:hint="default"/>
                <w:lang w:val="en-US" w:eastAsia="zh-CN"/>
              </w:rPr>
            </w:pPr>
            <w:r>
              <w:rPr>
                <w:rFonts w:hint="default"/>
                <w:lang w:val="en-US" w:eastAsia="zh-CN"/>
              </w:rPr>
              <w:t>评价标准条文编号</w:t>
            </w:r>
          </w:p>
        </w:tc>
        <w:tc>
          <w:tcPr>
            <w:tcW w:w="4350" w:type="dxa"/>
            <w:vAlign w:val="center"/>
          </w:tcPr>
          <w:p>
            <w:pPr>
              <w:rPr>
                <w:rFonts w:hint="default"/>
                <w:lang w:val="en-US" w:eastAsia="zh-CN"/>
              </w:rPr>
            </w:pPr>
            <w:r>
              <w:rPr>
                <w:rFonts w:hint="default"/>
                <w:lang w:val="en-US" w:eastAsia="zh-CN"/>
              </w:rPr>
              <w:t>条文内容及分值</w:t>
            </w:r>
          </w:p>
        </w:tc>
        <w:tc>
          <w:tcPr>
            <w:tcW w:w="3738" w:type="dxa"/>
            <w:vAlign w:val="center"/>
          </w:tcPr>
          <w:p>
            <w:pPr>
              <w:rPr>
                <w:rFonts w:hint="default"/>
                <w:lang w:val="en-US" w:eastAsia="zh-CN"/>
              </w:rPr>
            </w:pPr>
            <w:r>
              <w:rPr>
                <w:rFonts w:hint="default"/>
                <w:lang w:val="en-US" w:eastAsia="zh-CN"/>
              </w:rPr>
              <w:t>证明文件</w:t>
            </w:r>
          </w:p>
        </w:tc>
        <w:tc>
          <w:tcPr>
            <w:tcW w:w="1625" w:type="dxa"/>
            <w:vAlign w:val="center"/>
          </w:tcPr>
          <w:p>
            <w:pPr>
              <w:rPr>
                <w:rFonts w:hint="default"/>
                <w:lang w:val="en-US" w:eastAsia="zh-CN"/>
              </w:rPr>
            </w:pPr>
            <w:r>
              <w:rPr>
                <w:rFonts w:hint="default"/>
                <w:lang w:val="en-US" w:eastAsia="zh-CN"/>
              </w:rPr>
              <w:t>评审结果</w:t>
            </w:r>
          </w:p>
        </w:tc>
        <w:tc>
          <w:tcPr>
            <w:tcW w:w="1312"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937" w:type="dxa"/>
            <w:vMerge w:val="restart"/>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5.1.5</w:t>
            </w:r>
          </w:p>
        </w:tc>
        <w:tc>
          <w:tcPr>
            <w:tcW w:w="4350" w:type="dxa"/>
            <w:vAlign w:val="center"/>
          </w:tcPr>
          <w:p>
            <w:pPr>
              <w:rPr>
                <w:rFonts w:hint="default"/>
                <w:lang w:val="en-US" w:eastAsia="zh-CN"/>
              </w:rPr>
            </w:pPr>
            <w:r>
              <w:rPr>
                <w:rFonts w:hint="default"/>
                <w:lang w:val="en-US" w:eastAsia="zh-CN"/>
              </w:rPr>
              <w:t>建筑照明应符合下列规定：</w:t>
            </w:r>
          </w:p>
          <w:p>
            <w:pPr>
              <w:rPr>
                <w:rFonts w:hint="default"/>
                <w:lang w:val="en-US" w:eastAsia="zh-CN"/>
              </w:rPr>
            </w:pPr>
            <w:r>
              <w:rPr>
                <w:rFonts w:hint="default"/>
                <w:lang w:val="en-US" w:eastAsia="zh-CN"/>
              </w:rPr>
              <w:t>1 照明数量和质量应符合现行国家标准《建筑照明设计标准》GB 50034的规定；</w:t>
            </w:r>
          </w:p>
          <w:p>
            <w:pPr>
              <w:rPr>
                <w:rFonts w:hint="default"/>
                <w:lang w:val="en-US" w:eastAsia="zh-CN"/>
              </w:rPr>
            </w:pPr>
            <w:r>
              <w:rPr>
                <w:rFonts w:hint="default"/>
                <w:lang w:val="en-US" w:eastAsia="zh-CN"/>
              </w:rPr>
              <w:t>2 人员长期停留的场所应采用符合现行国家标准《灯和灯系统的光生物安全性》GB/T20145规定的无危险类照明产品；</w:t>
            </w:r>
          </w:p>
          <w:p>
            <w:pPr>
              <w:rPr>
                <w:rFonts w:hint="default"/>
                <w:lang w:val="en-US" w:eastAsia="zh-CN"/>
              </w:rPr>
            </w:pPr>
            <w:r>
              <w:rPr>
                <w:rFonts w:hint="default"/>
                <w:lang w:val="en-US" w:eastAsia="zh-CN"/>
              </w:rPr>
              <w:t>3 选用LED照明产品的光输出波形的波动深度应满足现行国家标准《LED室内照明应用技术要求》GB/T31831的规定。</w:t>
            </w:r>
          </w:p>
        </w:tc>
        <w:tc>
          <w:tcPr>
            <w:tcW w:w="3738" w:type="dxa"/>
            <w:vAlign w:val="center"/>
          </w:tcPr>
          <w:p>
            <w:pPr>
              <w:rPr>
                <w:rFonts w:hint="default"/>
                <w:lang w:val="en-US" w:eastAsia="zh-CN"/>
              </w:rPr>
            </w:pPr>
            <w:r>
              <w:rPr>
                <w:rFonts w:hint="default"/>
                <w:lang w:val="en-US" w:eastAsia="zh-CN"/>
              </w:rPr>
              <w:t>□照明平面图</w:t>
            </w:r>
          </w:p>
          <w:p>
            <w:pPr>
              <w:rPr>
                <w:rFonts w:hint="default"/>
                <w:lang w:val="en-US" w:eastAsia="zh-CN"/>
              </w:rPr>
            </w:pPr>
            <w:r>
              <w:rPr>
                <w:rFonts w:hint="default"/>
                <w:lang w:val="en-US" w:eastAsia="zh-CN"/>
              </w:rPr>
              <w:t>□照度计算书</w:t>
            </w:r>
          </w:p>
          <w:p>
            <w:pPr>
              <w:rPr>
                <w:rFonts w:hint="default"/>
                <w:lang w:val="en-US" w:eastAsia="zh-CN"/>
              </w:rPr>
            </w:pPr>
            <w:r>
              <w:rPr>
                <w:rFonts w:hint="default"/>
                <w:lang w:val="en-US" w:eastAsia="zh-CN"/>
              </w:rPr>
              <w:t>□现场照度检测报告</w:t>
            </w:r>
          </w:p>
          <w:p>
            <w:pPr>
              <w:rPr>
                <w:rFonts w:hint="default"/>
                <w:lang w:val="en-US" w:eastAsia="zh-CN"/>
              </w:rPr>
            </w:pPr>
            <w:r>
              <w:rPr>
                <w:rFonts w:hint="default"/>
                <w:lang w:val="en-US" w:eastAsia="zh-CN"/>
              </w:rPr>
              <w:t>□产品说明书及产品型式检验报告</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r>
              <w:rPr>
                <w:rFonts w:hint="default"/>
                <w:lang w:val="en-US" w:eastAsia="zh-CN"/>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5.1.9</w:t>
            </w:r>
          </w:p>
        </w:tc>
        <w:tc>
          <w:tcPr>
            <w:tcW w:w="4350" w:type="dxa"/>
            <w:vAlign w:val="center"/>
          </w:tcPr>
          <w:p>
            <w:pPr>
              <w:rPr>
                <w:rFonts w:hint="default"/>
                <w:lang w:val="en-US" w:eastAsia="zh-CN"/>
              </w:rPr>
            </w:pPr>
            <w:r>
              <w:rPr>
                <w:rFonts w:hint="default"/>
                <w:lang w:val="en-US" w:eastAsia="zh-CN"/>
              </w:rPr>
              <w:t>地下车库应设置与排风设备联动的一氧化碳浓度监测装置。</w:t>
            </w:r>
          </w:p>
        </w:tc>
        <w:tc>
          <w:tcPr>
            <w:tcW w:w="3738" w:type="dxa"/>
            <w:vAlign w:val="center"/>
          </w:tcPr>
          <w:p>
            <w:pPr>
              <w:rPr>
                <w:rFonts w:hint="default"/>
                <w:lang w:val="en-US" w:eastAsia="zh-CN"/>
              </w:rPr>
            </w:pPr>
            <w:r>
              <w:rPr>
                <w:rFonts w:hint="default"/>
                <w:lang w:val="en-US" w:eastAsia="zh-CN"/>
              </w:rPr>
              <w:t>□弱电平面图</w:t>
            </w:r>
          </w:p>
          <w:p>
            <w:pPr>
              <w:rPr>
                <w:rFonts w:hint="default"/>
                <w:lang w:val="en-US" w:eastAsia="zh-CN"/>
              </w:rPr>
            </w:pPr>
            <w:r>
              <w:rPr>
                <w:rFonts w:hint="default"/>
                <w:lang w:val="en-US" w:eastAsia="zh-CN"/>
              </w:rPr>
              <w:t>□系统图</w:t>
            </w:r>
          </w:p>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□检测报告</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6.1.3</w:t>
            </w:r>
          </w:p>
        </w:tc>
        <w:tc>
          <w:tcPr>
            <w:tcW w:w="4350" w:type="dxa"/>
            <w:vAlign w:val="center"/>
          </w:tcPr>
          <w:p>
            <w:pPr>
              <w:rPr>
                <w:rFonts w:hint="default"/>
                <w:lang w:val="en-US" w:eastAsia="zh-CN"/>
              </w:rPr>
            </w:pPr>
            <w:r>
              <w:rPr>
                <w:rFonts w:hint="default"/>
                <w:lang w:val="en-US" w:eastAsia="zh-CN"/>
              </w:rPr>
              <w:t>停车场应具有电动汽车充电设施或具备充电设施的安装条件，并应合理设置电动汽车和无障碍汽车停车位。</w:t>
            </w:r>
          </w:p>
        </w:tc>
        <w:tc>
          <w:tcPr>
            <w:tcW w:w="3738" w:type="dxa"/>
            <w:vAlign w:val="center"/>
          </w:tcPr>
          <w:p>
            <w:pPr>
              <w:rPr>
                <w:rFonts w:hint="default"/>
                <w:lang w:val="en-US" w:eastAsia="zh-CN"/>
              </w:rPr>
            </w:pPr>
            <w:r>
              <w:rPr>
                <w:rFonts w:hint="default"/>
                <w:lang w:val="en-US" w:eastAsia="zh-CN"/>
              </w:rPr>
              <w:t>□负荷计算书</w:t>
            </w:r>
          </w:p>
          <w:p>
            <w:pPr>
              <w:rPr>
                <w:rFonts w:hint="default"/>
                <w:lang w:val="en-US" w:eastAsia="zh-CN"/>
              </w:rPr>
            </w:pPr>
            <w:r>
              <w:rPr>
                <w:rFonts w:hint="default"/>
                <w:lang w:val="en-US" w:eastAsia="zh-CN"/>
              </w:rPr>
              <w:t>□配电干线平面图</w:t>
            </w:r>
          </w:p>
          <w:p>
            <w:pPr>
              <w:rPr>
                <w:rFonts w:hint="default"/>
                <w:lang w:val="en-US" w:eastAsia="zh-CN"/>
              </w:rPr>
            </w:pPr>
            <w:r>
              <w:rPr>
                <w:rFonts w:hint="default"/>
                <w:lang w:val="en-US" w:eastAsia="zh-CN"/>
              </w:rPr>
              <w:t>□系统图</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6.1.5</w:t>
            </w:r>
          </w:p>
        </w:tc>
        <w:tc>
          <w:tcPr>
            <w:tcW w:w="4350" w:type="dxa"/>
            <w:vAlign w:val="center"/>
          </w:tcPr>
          <w:p>
            <w:pPr>
              <w:rPr>
                <w:rFonts w:hint="default"/>
                <w:lang w:val="en-US" w:eastAsia="zh-CN"/>
              </w:rPr>
            </w:pPr>
            <w:r>
              <w:rPr>
                <w:rFonts w:hint="default"/>
                <w:lang w:val="en-US" w:eastAsia="zh-CN"/>
              </w:rPr>
              <w:t>设置建筑设备管理系统应具有自动监控管理功能。</w:t>
            </w:r>
          </w:p>
        </w:tc>
        <w:tc>
          <w:tcPr>
            <w:tcW w:w="3738" w:type="dxa"/>
            <w:vAlign w:val="center"/>
          </w:tcPr>
          <w:p>
            <w:pPr>
              <w:rPr>
                <w:rFonts w:hint="default"/>
                <w:lang w:val="en-US" w:eastAsia="zh-CN"/>
              </w:rPr>
            </w:pPr>
            <w:r>
              <w:rPr>
                <w:rFonts w:hint="default"/>
                <w:lang w:val="en-US" w:eastAsia="zh-CN"/>
              </w:rPr>
              <w:t>□弱电平面图</w:t>
            </w:r>
          </w:p>
          <w:p>
            <w:pPr>
              <w:rPr>
                <w:rFonts w:hint="default"/>
                <w:lang w:val="en-US" w:eastAsia="zh-CN"/>
              </w:rPr>
            </w:pPr>
            <w:r>
              <w:rPr>
                <w:rFonts w:hint="default"/>
                <w:lang w:val="en-US" w:eastAsia="zh-CN"/>
              </w:rPr>
              <w:t>□系统图</w:t>
            </w:r>
          </w:p>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6.1.6</w:t>
            </w:r>
          </w:p>
        </w:tc>
        <w:tc>
          <w:tcPr>
            <w:tcW w:w="4350" w:type="dxa"/>
            <w:vAlign w:val="center"/>
          </w:tcPr>
          <w:p>
            <w:pPr>
              <w:rPr>
                <w:rFonts w:hint="default"/>
                <w:lang w:val="en-US" w:eastAsia="zh-CN"/>
              </w:rPr>
            </w:pPr>
            <w:r>
              <w:rPr>
                <w:rFonts w:hint="default"/>
                <w:lang w:val="en-US" w:eastAsia="zh-CN"/>
              </w:rPr>
              <w:t>建筑应设置信息网络系统。</w:t>
            </w:r>
          </w:p>
        </w:tc>
        <w:tc>
          <w:tcPr>
            <w:tcW w:w="3738" w:type="dxa"/>
            <w:vAlign w:val="center"/>
          </w:tcPr>
          <w:p>
            <w:pPr>
              <w:rPr>
                <w:rFonts w:hint="default"/>
                <w:lang w:val="en-US" w:eastAsia="zh-CN"/>
              </w:rPr>
            </w:pPr>
            <w:r>
              <w:rPr>
                <w:rFonts w:hint="default"/>
                <w:lang w:val="en-US" w:eastAsia="zh-CN"/>
              </w:rPr>
              <w:t>□弱电平面图</w:t>
            </w:r>
          </w:p>
          <w:p>
            <w:pPr>
              <w:rPr>
                <w:rFonts w:hint="default"/>
                <w:lang w:val="en-US" w:eastAsia="zh-CN"/>
              </w:rPr>
            </w:pPr>
            <w:r>
              <w:rPr>
                <w:rFonts w:hint="default"/>
                <w:lang w:val="en-US" w:eastAsia="zh-CN"/>
              </w:rPr>
              <w:t>□系统图</w:t>
            </w:r>
          </w:p>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7.1.4</w:t>
            </w:r>
          </w:p>
        </w:tc>
        <w:tc>
          <w:tcPr>
            <w:tcW w:w="4350" w:type="dxa"/>
            <w:vAlign w:val="center"/>
          </w:tcPr>
          <w:p>
            <w:pPr>
              <w:rPr>
                <w:rFonts w:hint="default"/>
                <w:lang w:val="en-US" w:eastAsia="zh-CN"/>
              </w:rPr>
            </w:pPr>
            <w:r>
              <w:rPr>
                <w:rFonts w:hint="default"/>
                <w:lang w:val="en-US" w:eastAsia="zh-CN"/>
              </w:rPr>
              <w:t>主要功能房间照明功率密度值不应高于现行国家标准《建筑照明设计标准》GB 50034 规定的现行值；公共区域的照明系统应采用分区、定时感应等节能控制；采光区域的照明控制应独立于其他区域的照明控制。</w:t>
            </w:r>
          </w:p>
        </w:tc>
        <w:tc>
          <w:tcPr>
            <w:tcW w:w="3738" w:type="dxa"/>
            <w:vAlign w:val="center"/>
          </w:tcPr>
          <w:p>
            <w:pPr>
              <w:rPr>
                <w:rFonts w:hint="default"/>
                <w:lang w:val="en-US" w:eastAsia="zh-CN"/>
              </w:rPr>
            </w:pPr>
            <w:r>
              <w:rPr>
                <w:rFonts w:hint="default"/>
                <w:lang w:val="en-US" w:eastAsia="zh-CN"/>
              </w:rPr>
              <w:t>□照明平面图</w:t>
            </w:r>
          </w:p>
          <w:p>
            <w:pPr>
              <w:rPr>
                <w:rFonts w:hint="default"/>
                <w:lang w:val="en-US" w:eastAsia="zh-CN"/>
              </w:rPr>
            </w:pPr>
            <w:r>
              <w:rPr>
                <w:rFonts w:hint="default"/>
                <w:lang w:val="en-US" w:eastAsia="zh-CN"/>
              </w:rPr>
              <w:t>□系统图</w:t>
            </w:r>
          </w:p>
          <w:p>
            <w:pPr>
              <w:rPr>
                <w:rFonts w:hint="default"/>
                <w:lang w:val="en-US" w:eastAsia="zh-CN"/>
              </w:rPr>
            </w:pPr>
            <w:r>
              <w:rPr>
                <w:rFonts w:hint="default"/>
                <w:lang w:val="en-US" w:eastAsia="zh-CN"/>
              </w:rPr>
              <w:t>□设计总说明</w:t>
            </w:r>
          </w:p>
          <w:p>
            <w:pPr>
              <w:rPr>
                <w:rFonts w:hint="default"/>
                <w:lang w:val="en-US" w:eastAsia="zh-CN"/>
              </w:rPr>
            </w:pPr>
            <w:r>
              <w:rPr>
                <w:rFonts w:hint="default"/>
                <w:lang w:val="en-US" w:eastAsia="zh-CN"/>
              </w:rPr>
              <w:t>□照度计算书</w:t>
            </w:r>
          </w:p>
          <w:p>
            <w:pPr>
              <w:rPr>
                <w:rFonts w:hint="default"/>
                <w:lang w:val="en-US" w:eastAsia="zh-CN"/>
              </w:rPr>
            </w:pPr>
            <w:r>
              <w:rPr>
                <w:rFonts w:hint="default"/>
                <w:lang w:val="en-US" w:eastAsia="zh-CN"/>
              </w:rPr>
              <w:t>□现场照度检测报告</w:t>
            </w:r>
          </w:p>
          <w:p>
            <w:pPr>
              <w:rPr>
                <w:rFonts w:hint="default"/>
                <w:lang w:val="en-US" w:eastAsia="zh-CN"/>
              </w:rPr>
            </w:pPr>
            <w:r>
              <w:rPr>
                <w:rFonts w:hint="default"/>
                <w:lang w:val="en-US" w:eastAsia="zh-CN"/>
              </w:rPr>
              <w:t>□产品说明书及产品型式检验报告</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7.1.5</w:t>
            </w:r>
          </w:p>
        </w:tc>
        <w:tc>
          <w:tcPr>
            <w:tcW w:w="4350" w:type="dxa"/>
            <w:vAlign w:val="center"/>
          </w:tcPr>
          <w:p>
            <w:pPr>
              <w:rPr>
                <w:rFonts w:hint="default"/>
                <w:lang w:val="en-US" w:eastAsia="zh-CN"/>
              </w:rPr>
            </w:pPr>
            <w:r>
              <w:rPr>
                <w:rFonts w:hint="default"/>
                <w:lang w:val="en-US" w:eastAsia="zh-CN"/>
              </w:rPr>
              <w:t>冷热源、输配系统和照明等各部分能耗应进行独立分项计量。</w:t>
            </w:r>
          </w:p>
        </w:tc>
        <w:tc>
          <w:tcPr>
            <w:tcW w:w="3738" w:type="dxa"/>
            <w:vAlign w:val="center"/>
          </w:tcPr>
          <w:p>
            <w:pPr>
              <w:rPr>
                <w:rFonts w:hint="default"/>
                <w:lang w:val="en-US" w:eastAsia="zh-CN"/>
              </w:rPr>
            </w:pPr>
            <w:r>
              <w:rPr>
                <w:rFonts w:hint="default"/>
                <w:lang w:val="en-US" w:eastAsia="zh-CN"/>
              </w:rPr>
              <w:t>□配电平面图</w:t>
            </w:r>
          </w:p>
          <w:p>
            <w:pPr>
              <w:rPr>
                <w:rFonts w:hint="default"/>
                <w:lang w:val="en-US" w:eastAsia="zh-CN"/>
              </w:rPr>
            </w:pPr>
            <w:r>
              <w:rPr>
                <w:rFonts w:hint="default"/>
                <w:lang w:val="en-US" w:eastAsia="zh-CN"/>
              </w:rPr>
              <w:t>□系统图</w:t>
            </w:r>
          </w:p>
          <w:p>
            <w:pPr>
              <w:rPr>
                <w:rFonts w:hint="default"/>
                <w:lang w:val="en-US" w:eastAsia="zh-CN"/>
              </w:rPr>
            </w:pPr>
            <w:r>
              <w:rPr>
                <w:rFonts w:hint="default"/>
                <w:lang w:val="en-US" w:eastAsia="zh-CN"/>
              </w:rPr>
              <w:t>□分项计量记录表</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7.1.6</w:t>
            </w:r>
          </w:p>
        </w:tc>
        <w:tc>
          <w:tcPr>
            <w:tcW w:w="4350" w:type="dxa"/>
            <w:vAlign w:val="center"/>
          </w:tcPr>
          <w:p>
            <w:pPr>
              <w:rPr>
                <w:rFonts w:hint="default"/>
                <w:lang w:val="en-US" w:eastAsia="zh-CN"/>
              </w:rPr>
            </w:pPr>
            <w:r>
              <w:rPr>
                <w:rFonts w:hint="default"/>
                <w:lang w:val="en-US" w:eastAsia="zh-CN"/>
              </w:rPr>
              <w:t>垂直电梯应采取群控、变频调速或能量反馈等节能措施；自动扶梯应采用变频感应启动等节能控制措施。</w:t>
            </w:r>
          </w:p>
        </w:tc>
        <w:tc>
          <w:tcPr>
            <w:tcW w:w="3738" w:type="dxa"/>
            <w:vAlign w:val="center"/>
          </w:tcPr>
          <w:p>
            <w:pPr>
              <w:rPr>
                <w:rFonts w:hint="default"/>
                <w:lang w:val="en-US" w:eastAsia="zh-CN"/>
              </w:rPr>
            </w:pPr>
            <w:r>
              <w:rPr>
                <w:rFonts w:hint="default"/>
                <w:lang w:val="en-US" w:eastAsia="zh-CN"/>
              </w:rPr>
              <w:t>□设计说明</w:t>
            </w:r>
          </w:p>
          <w:p>
            <w:pPr>
              <w:rPr>
                <w:rFonts w:hint="default"/>
                <w:lang w:val="en-US" w:eastAsia="zh-CN"/>
              </w:rPr>
            </w:pPr>
            <w:r>
              <w:rPr>
                <w:rFonts w:hint="default"/>
                <w:lang w:val="en-US" w:eastAsia="zh-CN"/>
              </w:rPr>
              <w:t>□电梯与自动扶梯人流平衡计算分析报告</w:t>
            </w:r>
          </w:p>
          <w:p>
            <w:pPr>
              <w:rPr>
                <w:rFonts w:hint="default"/>
                <w:lang w:val="en-US" w:eastAsia="zh-CN"/>
              </w:rPr>
            </w:pPr>
            <w:r>
              <w:rPr>
                <w:rFonts w:hint="default"/>
                <w:lang w:val="en-US" w:eastAsia="zh-CN"/>
              </w:rPr>
              <w:t>□产品型式检验报告</w:t>
            </w:r>
          </w:p>
        </w:tc>
        <w:tc>
          <w:tcPr>
            <w:tcW w:w="1625"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7" w:type="dxa"/>
            <w:vMerge w:val="restart"/>
            <w:vAlign w:val="center"/>
          </w:tcPr>
          <w:p>
            <w:pPr>
              <w:rPr>
                <w:rFonts w:hint="default"/>
                <w:lang w:val="en-US" w:eastAsia="zh-CN"/>
              </w:rPr>
            </w:pPr>
            <w:r>
              <w:rPr>
                <w:rFonts w:hint="default"/>
                <w:lang w:val="en-US" w:eastAsia="zh-CN"/>
              </w:rPr>
              <w:t>评分项</w:t>
            </w:r>
          </w:p>
        </w:tc>
        <w:tc>
          <w:tcPr>
            <w:tcW w:w="1150" w:type="dxa"/>
            <w:vAlign w:val="center"/>
          </w:tcPr>
          <w:p>
            <w:pPr>
              <w:rPr>
                <w:rFonts w:hint="default"/>
                <w:lang w:val="en-US" w:eastAsia="zh-CN"/>
              </w:rPr>
            </w:pPr>
            <w:r>
              <w:rPr>
                <w:rFonts w:hint="default"/>
                <w:lang w:val="en-US" w:eastAsia="zh-CN"/>
              </w:rPr>
              <w:t>4.2.5</w:t>
            </w:r>
          </w:p>
        </w:tc>
        <w:tc>
          <w:tcPr>
            <w:tcW w:w="4350" w:type="dxa"/>
            <w:vAlign w:val="center"/>
          </w:tcPr>
          <w:p>
            <w:pPr>
              <w:rPr>
                <w:rFonts w:hint="default"/>
                <w:lang w:val="en-US" w:eastAsia="zh-CN"/>
              </w:rPr>
            </w:pPr>
            <w:r>
              <w:rPr>
                <w:rFonts w:hint="default"/>
                <w:lang w:val="en-US" w:eastAsia="zh-CN"/>
              </w:rPr>
              <w:t>采取人车分流，且步行和自行车交通系统有充足照明评价分值为8分。</w:t>
            </w:r>
          </w:p>
        </w:tc>
        <w:tc>
          <w:tcPr>
            <w:tcW w:w="3738"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□照度计算书</w:t>
            </w:r>
          </w:p>
          <w:p>
            <w:pPr>
              <w:rPr>
                <w:rFonts w:hint="default"/>
                <w:lang w:val="en-US" w:eastAsia="zh-CN"/>
              </w:rPr>
            </w:pPr>
            <w:r>
              <w:rPr>
                <w:rFonts w:hint="default"/>
                <w:lang w:val="en-US" w:eastAsia="zh-CN"/>
              </w:rPr>
              <w:t>□照度检测报告</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r>
              <w:rPr>
                <w:rFonts w:hint="default"/>
                <w:lang w:val="en-US" w:eastAsia="zh-CN"/>
              </w:rPr>
              <w:t>□安全耐久</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6.2.12（1、2、3）</w:t>
            </w:r>
          </w:p>
        </w:tc>
        <w:tc>
          <w:tcPr>
            <w:tcW w:w="4350" w:type="dxa"/>
            <w:vAlign w:val="center"/>
          </w:tcPr>
          <w:p>
            <w:pPr>
              <w:rPr>
                <w:rFonts w:hint="default"/>
                <w:lang w:val="en-US" w:eastAsia="zh-CN"/>
              </w:rPr>
            </w:pPr>
            <w:r>
              <w:rPr>
                <w:rFonts w:hint="default"/>
                <w:lang w:val="en-US" w:eastAsia="zh-CN"/>
              </w:rPr>
              <w:t>制定绿色建筑运营效果评估的技术方案和计划</w:t>
            </w:r>
          </w:p>
          <w:p>
            <w:pPr>
              <w:rPr>
                <w:rFonts w:hint="default"/>
                <w:lang w:val="en-US" w:eastAsia="zh-CN"/>
              </w:rPr>
            </w:pPr>
            <w:r>
              <w:rPr>
                <w:rFonts w:hint="default"/>
                <w:lang w:val="en-US" w:eastAsia="zh-CN"/>
              </w:rPr>
              <w:t>定期检查、调试公共设施设备，具有检查、调试、运行、标定的记录，且记录完整</w:t>
            </w:r>
          </w:p>
          <w:p>
            <w:pPr>
              <w:rPr>
                <w:rFonts w:hint="default"/>
                <w:lang w:val="en-US" w:eastAsia="zh-CN"/>
              </w:rPr>
            </w:pPr>
            <w:r>
              <w:rPr>
                <w:rFonts w:hint="default"/>
                <w:lang w:val="en-US" w:eastAsia="zh-CN"/>
              </w:rPr>
              <w:t>定期开展节能诊断评估，并根据评估结果制定优化方案并实施</w:t>
            </w:r>
          </w:p>
        </w:tc>
        <w:tc>
          <w:tcPr>
            <w:tcW w:w="3738" w:type="dxa"/>
            <w:vAlign w:val="center"/>
          </w:tcPr>
          <w:p>
            <w:pPr>
              <w:rPr>
                <w:rFonts w:hint="default"/>
                <w:lang w:val="en-US" w:eastAsia="zh-CN"/>
              </w:rPr>
            </w:pPr>
            <w:r>
              <w:rPr>
                <w:rFonts w:hint="default"/>
                <w:lang w:val="en-US" w:eastAsia="zh-CN"/>
              </w:rPr>
              <w:t>□相关管理制定</w:t>
            </w:r>
          </w:p>
          <w:p>
            <w:pPr>
              <w:rPr>
                <w:rFonts w:hint="default"/>
                <w:lang w:val="en-US" w:eastAsia="zh-CN"/>
              </w:rPr>
            </w:pPr>
            <w:r>
              <w:rPr>
                <w:rFonts w:hint="default"/>
                <w:lang w:val="en-US" w:eastAsia="zh-CN"/>
              </w:rPr>
              <w:t>□年度评估报告</w:t>
            </w:r>
          </w:p>
          <w:p>
            <w:pPr>
              <w:rPr>
                <w:rFonts w:hint="default"/>
                <w:lang w:val="en-US" w:eastAsia="zh-CN"/>
              </w:rPr>
            </w:pPr>
            <w:r>
              <w:rPr>
                <w:rFonts w:hint="default"/>
                <w:lang w:val="en-US" w:eastAsia="zh-CN"/>
              </w:rPr>
              <w:t>□历史检测数据</w:t>
            </w:r>
          </w:p>
          <w:p>
            <w:pPr>
              <w:rPr>
                <w:rFonts w:hint="default"/>
                <w:lang w:val="en-US" w:eastAsia="zh-CN"/>
              </w:rPr>
            </w:pPr>
            <w:r>
              <w:rPr>
                <w:rFonts w:hint="default"/>
                <w:lang w:val="en-US" w:eastAsia="zh-CN"/>
              </w:rPr>
              <w:t>□诊断报告</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 xml:space="preserve">得分：    </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6.2.6</w:t>
            </w:r>
          </w:p>
        </w:tc>
        <w:tc>
          <w:tcPr>
            <w:tcW w:w="4350" w:type="dxa"/>
            <w:vAlign w:val="center"/>
          </w:tcPr>
          <w:p>
            <w:pPr>
              <w:rPr>
                <w:rFonts w:hint="default"/>
                <w:lang w:val="en-US" w:eastAsia="zh-CN"/>
              </w:rPr>
            </w:pPr>
            <w:r>
              <w:rPr>
                <w:rFonts w:hint="default"/>
                <w:lang w:val="en-US" w:eastAsia="zh-CN"/>
              </w:rPr>
              <w:t>设置分类、分级用能自动远传计量系统，且设置能源管理系统实现对建筑能耗的监测、数据分析和管理，评价分值为8分。</w:t>
            </w:r>
          </w:p>
        </w:tc>
        <w:tc>
          <w:tcPr>
            <w:tcW w:w="3738" w:type="dxa"/>
            <w:vAlign w:val="center"/>
          </w:tcPr>
          <w:p>
            <w:pPr>
              <w:rPr>
                <w:rFonts w:hint="default"/>
                <w:lang w:val="en-US" w:eastAsia="zh-CN"/>
              </w:rPr>
            </w:pPr>
            <w:r>
              <w:rPr>
                <w:rFonts w:hint="default"/>
                <w:lang w:val="en-US" w:eastAsia="zh-CN"/>
              </w:rPr>
              <w:t>□弱电设计图</w:t>
            </w:r>
          </w:p>
          <w:p>
            <w:pPr>
              <w:rPr>
                <w:rFonts w:hint="default"/>
                <w:lang w:val="en-US" w:eastAsia="zh-CN"/>
              </w:rPr>
            </w:pPr>
            <w:r>
              <w:rPr>
                <w:rFonts w:hint="default"/>
                <w:lang w:val="en-US" w:eastAsia="zh-CN"/>
              </w:rPr>
              <w:t>□产品型式检验报告</w:t>
            </w:r>
          </w:p>
          <w:p>
            <w:pPr>
              <w:rPr>
                <w:rFonts w:hint="default"/>
                <w:lang w:val="en-US" w:eastAsia="zh-CN"/>
              </w:rPr>
            </w:pPr>
            <w:r>
              <w:rPr>
                <w:rFonts w:hint="default"/>
                <w:lang w:val="en-US" w:eastAsia="zh-CN"/>
              </w:rPr>
              <w:t>□能源管理制度</w:t>
            </w:r>
          </w:p>
          <w:p>
            <w:pPr>
              <w:rPr>
                <w:rFonts w:hint="default"/>
                <w:lang w:val="en-US" w:eastAsia="zh-CN"/>
              </w:rPr>
            </w:pPr>
            <w:r>
              <w:rPr>
                <w:rFonts w:hint="default"/>
                <w:lang w:val="en-US" w:eastAsia="zh-CN"/>
              </w:rPr>
              <w:t>□历史监测数据</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6.2.7</w:t>
            </w:r>
          </w:p>
        </w:tc>
        <w:tc>
          <w:tcPr>
            <w:tcW w:w="4350" w:type="dxa"/>
            <w:vAlign w:val="center"/>
          </w:tcPr>
          <w:p>
            <w:pPr>
              <w:rPr>
                <w:rFonts w:hint="default"/>
                <w:lang w:val="en-US" w:eastAsia="zh-CN"/>
              </w:rPr>
            </w:pPr>
            <w:r>
              <w:rPr>
                <w:rFonts w:hint="default"/>
                <w:lang w:val="en-US" w:eastAsia="zh-CN"/>
              </w:rPr>
              <w:t>设置PM10、PM2.5、CO2浓度的空气质量监测系统，且具有存储至少一年的监测数据和实时显示等功能，评价分值为5分。</w:t>
            </w:r>
          </w:p>
        </w:tc>
        <w:tc>
          <w:tcPr>
            <w:tcW w:w="3738" w:type="dxa"/>
            <w:vAlign w:val="center"/>
          </w:tcPr>
          <w:p>
            <w:pPr>
              <w:rPr>
                <w:rFonts w:hint="default"/>
                <w:lang w:val="en-US" w:eastAsia="zh-CN"/>
              </w:rPr>
            </w:pPr>
            <w:r>
              <w:rPr>
                <w:rFonts w:hint="default"/>
                <w:lang w:val="en-US" w:eastAsia="zh-CN"/>
              </w:rPr>
              <w:t>□弱电设计图</w:t>
            </w:r>
          </w:p>
          <w:p>
            <w:pPr>
              <w:rPr>
                <w:rFonts w:hint="default"/>
                <w:lang w:val="en-US" w:eastAsia="zh-CN"/>
              </w:rPr>
            </w:pPr>
            <w:r>
              <w:rPr>
                <w:rFonts w:hint="default"/>
                <w:lang w:val="en-US" w:eastAsia="zh-CN"/>
              </w:rPr>
              <w:t>□产品型式检验报告</w:t>
            </w:r>
          </w:p>
          <w:p>
            <w:pPr>
              <w:rPr>
                <w:rFonts w:hint="default"/>
                <w:lang w:val="en-US" w:eastAsia="zh-CN"/>
              </w:rPr>
            </w:pPr>
            <w:r>
              <w:rPr>
                <w:rFonts w:hint="default"/>
                <w:lang w:val="en-US" w:eastAsia="zh-CN"/>
              </w:rPr>
              <w:t>□管理制度</w:t>
            </w:r>
          </w:p>
          <w:p>
            <w:pPr>
              <w:rPr>
                <w:rFonts w:hint="default"/>
                <w:lang w:val="en-US" w:eastAsia="zh-CN"/>
              </w:rPr>
            </w:pPr>
            <w:r>
              <w:rPr>
                <w:rFonts w:hint="default"/>
                <w:lang w:val="en-US" w:eastAsia="zh-CN"/>
              </w:rPr>
              <w:t>□历史监测数据</w:t>
            </w:r>
          </w:p>
          <w:p>
            <w:pPr>
              <w:rPr>
                <w:rFonts w:hint="default"/>
                <w:lang w:val="en-US" w:eastAsia="zh-CN"/>
              </w:rPr>
            </w:pPr>
            <w:r>
              <w:rPr>
                <w:rFonts w:hint="default"/>
                <w:lang w:val="en-US" w:eastAsia="zh-CN"/>
              </w:rPr>
              <w:t>□运行记录</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6.2.9</w:t>
            </w:r>
          </w:p>
        </w:tc>
        <w:tc>
          <w:tcPr>
            <w:tcW w:w="4350" w:type="dxa"/>
            <w:vAlign w:val="center"/>
          </w:tcPr>
          <w:p>
            <w:pPr>
              <w:rPr>
                <w:rFonts w:hint="default"/>
                <w:lang w:val="en-US" w:eastAsia="zh-CN"/>
              </w:rPr>
            </w:pPr>
            <w:r>
              <w:rPr>
                <w:rFonts w:hint="default"/>
                <w:lang w:val="en-US" w:eastAsia="zh-CN"/>
              </w:rPr>
              <w:t>具有智能化服务系统，评价总分值为9分，并按下列规则分别评分并累计：</w:t>
            </w:r>
          </w:p>
          <w:p>
            <w:pPr>
              <w:rPr>
                <w:rFonts w:hint="default"/>
                <w:lang w:val="en-US" w:eastAsia="zh-CN"/>
              </w:rPr>
            </w:pPr>
            <w:r>
              <w:rPr>
                <w:rFonts w:hint="default"/>
                <w:lang w:val="en-US" w:eastAsia="zh-CN"/>
              </w:rPr>
              <w:t>1 具有家电控制、照明控制、安全报警、环境监测、建筑设备控制、工作生活服务等至少3种类型的服务功能，得3分；</w:t>
            </w:r>
          </w:p>
          <w:p>
            <w:pPr>
              <w:rPr>
                <w:rFonts w:hint="default"/>
                <w:lang w:val="en-US" w:eastAsia="zh-CN"/>
              </w:rPr>
            </w:pPr>
            <w:r>
              <w:rPr>
                <w:rFonts w:hint="default"/>
                <w:lang w:val="en-US" w:eastAsia="zh-CN"/>
              </w:rPr>
              <w:t>2 具有远程监控的功能，得3分；</w:t>
            </w:r>
          </w:p>
          <w:p>
            <w:pPr>
              <w:rPr>
                <w:rFonts w:hint="default"/>
                <w:lang w:val="en-US" w:eastAsia="zh-CN"/>
              </w:rPr>
            </w:pPr>
            <w:r>
              <w:rPr>
                <w:rFonts w:hint="default"/>
                <w:lang w:val="en-US" w:eastAsia="zh-CN"/>
              </w:rPr>
              <w:t>3 具有接入智慧城市（城区、社区）的功能，得3分。</w:t>
            </w:r>
          </w:p>
        </w:tc>
        <w:tc>
          <w:tcPr>
            <w:tcW w:w="3738" w:type="dxa"/>
            <w:vAlign w:val="center"/>
          </w:tcPr>
          <w:p>
            <w:pPr>
              <w:rPr>
                <w:rFonts w:hint="default"/>
                <w:lang w:val="en-US" w:eastAsia="zh-CN"/>
              </w:rPr>
            </w:pPr>
            <w:r>
              <w:rPr>
                <w:rFonts w:hint="default"/>
                <w:lang w:val="en-US" w:eastAsia="zh-CN"/>
              </w:rPr>
              <w:t>□设计文件(智能家居或环境设备监控系统设计方案、智能化服务平台方案、相关智能化设计图纸)</w:t>
            </w:r>
          </w:p>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□产品型式检验报告</w:t>
            </w:r>
          </w:p>
          <w:p>
            <w:pPr>
              <w:rPr>
                <w:rFonts w:hint="default"/>
                <w:lang w:val="en-US" w:eastAsia="zh-CN"/>
              </w:rPr>
            </w:pPr>
            <w:r>
              <w:rPr>
                <w:rFonts w:hint="default"/>
                <w:lang w:val="en-US" w:eastAsia="zh-CN"/>
              </w:rPr>
              <w:t>□投入使用的项目尚应查阅管理制度、历史监测数据、运行记录</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7.2.7</w:t>
            </w:r>
          </w:p>
        </w:tc>
        <w:tc>
          <w:tcPr>
            <w:tcW w:w="4350" w:type="dxa"/>
            <w:vAlign w:val="center"/>
          </w:tcPr>
          <w:p>
            <w:pPr>
              <w:rPr>
                <w:rFonts w:hint="default"/>
                <w:lang w:val="en-US" w:eastAsia="zh-CN"/>
              </w:rPr>
            </w:pPr>
            <w:r>
              <w:rPr>
                <w:rFonts w:hint="default"/>
                <w:lang w:val="en-US" w:eastAsia="zh-CN"/>
              </w:rPr>
              <w:t>采用节能型电气设备及节能控制措施，评价总分值为10分，并按下列规则分别评分并累计：</w:t>
            </w:r>
          </w:p>
          <w:p>
            <w:pPr>
              <w:rPr>
                <w:rFonts w:hint="default"/>
                <w:lang w:val="en-US" w:eastAsia="zh-CN"/>
              </w:rPr>
            </w:pPr>
            <w:r>
              <w:rPr>
                <w:rFonts w:hint="default"/>
                <w:lang w:val="en-US" w:eastAsia="zh-CN"/>
              </w:rPr>
              <w:t>1 主要功能房间的照明功率密度值达到《建筑照明设计标准》GB50034规定的目标值，得5分；</w:t>
            </w:r>
          </w:p>
          <w:p>
            <w:pPr>
              <w:rPr>
                <w:rFonts w:hint="default"/>
                <w:lang w:val="en-US" w:eastAsia="zh-CN"/>
              </w:rPr>
            </w:pPr>
            <w:r>
              <w:rPr>
                <w:rFonts w:hint="default"/>
                <w:lang w:val="en-US" w:eastAsia="zh-CN"/>
              </w:rPr>
              <w:t>2 采光区域的人工照明随天然照度变化自动调节，得2分；</w:t>
            </w:r>
          </w:p>
          <w:p>
            <w:pPr>
              <w:rPr>
                <w:rFonts w:hint="default"/>
                <w:lang w:val="en-US" w:eastAsia="zh-CN"/>
              </w:rPr>
            </w:pPr>
            <w:r>
              <w:rPr>
                <w:rFonts w:hint="default"/>
                <w:lang w:val="en-US" w:eastAsia="zh-CN"/>
              </w:rPr>
              <w:t>3.照明产品、三相配电变压器、水泵、风机等设备满足国家现行有关标准的节能评价值的要求，得3分。</w:t>
            </w:r>
          </w:p>
          <w:p>
            <w:pPr>
              <w:rPr>
                <w:rFonts w:hint="default"/>
                <w:lang w:val="en-US" w:eastAsia="zh-CN"/>
              </w:rPr>
            </w:pPr>
          </w:p>
        </w:tc>
        <w:tc>
          <w:tcPr>
            <w:tcW w:w="3738" w:type="dxa"/>
            <w:vAlign w:val="center"/>
          </w:tcPr>
          <w:p>
            <w:pPr>
              <w:rPr>
                <w:rFonts w:hint="default"/>
                <w:lang w:val="en-US" w:eastAsia="zh-CN"/>
              </w:rPr>
            </w:pPr>
            <w:r>
              <w:rPr>
                <w:rFonts w:hint="default"/>
                <w:lang w:val="en-US" w:eastAsia="zh-CN"/>
              </w:rPr>
              <w:t>□设计总说明</w:t>
            </w:r>
          </w:p>
          <w:p>
            <w:pPr>
              <w:rPr>
                <w:rFonts w:hint="default"/>
                <w:lang w:val="en-US" w:eastAsia="zh-CN"/>
              </w:rPr>
            </w:pPr>
            <w:r>
              <w:rPr>
                <w:rFonts w:hint="default"/>
                <w:lang w:val="en-US" w:eastAsia="zh-CN"/>
              </w:rPr>
              <w:t>□主要设备材料表</w:t>
            </w:r>
          </w:p>
          <w:p>
            <w:pPr>
              <w:rPr>
                <w:rFonts w:hint="default"/>
                <w:lang w:val="en-US" w:eastAsia="zh-CN"/>
              </w:rPr>
            </w:pPr>
            <w:r>
              <w:rPr>
                <w:rFonts w:hint="default"/>
                <w:lang w:val="en-US" w:eastAsia="zh-CN"/>
              </w:rPr>
              <w:t>□照度计算书</w:t>
            </w:r>
          </w:p>
          <w:p>
            <w:pPr>
              <w:rPr>
                <w:rFonts w:hint="default"/>
                <w:lang w:val="en-US" w:eastAsia="zh-CN"/>
              </w:rPr>
            </w:pPr>
            <w:r>
              <w:rPr>
                <w:rFonts w:hint="default"/>
                <w:lang w:val="en-US" w:eastAsia="zh-CN"/>
              </w:rPr>
              <w:t>□照度检测报告</w:t>
            </w:r>
          </w:p>
          <w:p>
            <w:pPr>
              <w:rPr>
                <w:rFonts w:hint="default"/>
                <w:lang w:val="en-US" w:eastAsia="zh-CN"/>
              </w:rPr>
            </w:pPr>
            <w:r>
              <w:rPr>
                <w:rFonts w:hint="default"/>
                <w:lang w:val="en-US" w:eastAsia="zh-CN"/>
              </w:rPr>
              <w:t>□产品型式检验报告</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9.2.6</w:t>
            </w:r>
          </w:p>
        </w:tc>
        <w:tc>
          <w:tcPr>
            <w:tcW w:w="4350" w:type="dxa"/>
            <w:vAlign w:val="center"/>
          </w:tcPr>
          <w:p>
            <w:pPr>
              <w:rPr>
                <w:rFonts w:hint="default"/>
                <w:lang w:val="en-US" w:eastAsia="zh-CN"/>
              </w:rPr>
            </w:pPr>
            <w:r>
              <w:rPr>
                <w:rFonts w:hint="default"/>
                <w:lang w:val="en-US" w:eastAsia="zh-CN"/>
              </w:rPr>
              <w:t>应用建筑信息模型（BIM）技术，在建筑的规划设计、施工建造、运行维护阶段应用（每一个阶段5分，共15分）</w:t>
            </w:r>
          </w:p>
        </w:tc>
        <w:tc>
          <w:tcPr>
            <w:tcW w:w="3738"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□BIM技术应用报告</w:t>
            </w:r>
          </w:p>
          <w:p>
            <w:pPr>
              <w:rPr>
                <w:rFonts w:hint="default"/>
                <w:lang w:val="en-US" w:eastAsia="zh-CN"/>
              </w:rPr>
            </w:pPr>
            <w:r>
              <w:rPr>
                <w:rFonts w:hint="default"/>
                <w:lang w:val="en-US" w:eastAsia="zh-CN"/>
              </w:rPr>
              <w:t>□设计方案</w:t>
            </w:r>
          </w:p>
          <w:p>
            <w:pPr>
              <w:rPr>
                <w:rFonts w:hint="default"/>
                <w:lang w:val="en-US" w:eastAsia="zh-CN"/>
              </w:rPr>
            </w:pPr>
            <w:r>
              <w:rPr>
                <w:rFonts w:hint="default"/>
                <w:lang w:val="en-US" w:eastAsia="zh-CN"/>
              </w:rPr>
              <w:t>□施工方案</w:t>
            </w:r>
          </w:p>
          <w:p>
            <w:pPr>
              <w:rPr>
                <w:rFonts w:hint="default"/>
                <w:lang w:val="en-US" w:eastAsia="zh-CN"/>
              </w:rPr>
            </w:pPr>
            <w:r>
              <w:rPr>
                <w:rFonts w:hint="default"/>
                <w:lang w:val="en-US" w:eastAsia="zh-CN"/>
              </w:rPr>
              <w:t>□技术交底</w:t>
            </w:r>
          </w:p>
          <w:p>
            <w:pPr>
              <w:rPr>
                <w:rFonts w:hint="default"/>
                <w:lang w:val="en-US" w:eastAsia="zh-CN"/>
              </w:rPr>
            </w:pPr>
            <w:r>
              <w:rPr>
                <w:rFonts w:hint="default"/>
                <w:lang w:val="en-US" w:eastAsia="zh-CN"/>
              </w:rPr>
              <w:t>□过程资料、图片</w:t>
            </w:r>
          </w:p>
        </w:tc>
        <w:tc>
          <w:tcPr>
            <w:tcW w:w="1625"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37" w:type="dxa"/>
            <w:vMerge w:val="continue"/>
            <w:vAlign w:val="center"/>
          </w:tcPr>
          <w:p>
            <w:pPr>
              <w:rPr>
                <w:rFonts w:hint="default"/>
                <w:lang w:val="en-US" w:eastAsia="zh-CN"/>
              </w:rPr>
            </w:pPr>
          </w:p>
        </w:tc>
        <w:tc>
          <w:tcPr>
            <w:tcW w:w="1150" w:type="dxa"/>
            <w:vAlign w:val="center"/>
          </w:tcPr>
          <w:p>
            <w:pPr>
              <w:rPr>
                <w:rFonts w:hint="default"/>
                <w:lang w:val="en-US" w:eastAsia="zh-CN"/>
              </w:rPr>
            </w:pPr>
            <w:r>
              <w:rPr>
                <w:rFonts w:hint="default"/>
                <w:lang w:val="en-US" w:eastAsia="zh-CN"/>
              </w:rPr>
              <w:t>9.2.7</w:t>
            </w:r>
          </w:p>
        </w:tc>
        <w:tc>
          <w:tcPr>
            <w:tcW w:w="4350" w:type="dxa"/>
            <w:vAlign w:val="center"/>
          </w:tcPr>
          <w:p>
            <w:pPr>
              <w:rPr>
                <w:rFonts w:hint="default"/>
                <w:lang w:val="en-US" w:eastAsia="zh-CN"/>
              </w:rPr>
            </w:pPr>
            <w:r>
              <w:rPr>
                <w:rFonts w:hint="default"/>
                <w:lang w:val="en-US" w:eastAsia="zh-CN"/>
              </w:rPr>
              <w:t>进行建筑碳排放计算分析，采取措施降低单位建筑面积碳排放强度，评价分值为12分。</w:t>
            </w:r>
          </w:p>
        </w:tc>
        <w:tc>
          <w:tcPr>
            <w:tcW w:w="3738" w:type="dxa"/>
            <w:vAlign w:val="center"/>
          </w:tcPr>
          <w:p>
            <w:pPr>
              <w:rPr>
                <w:rFonts w:hint="default"/>
                <w:lang w:val="en-US" w:eastAsia="zh-CN"/>
              </w:rPr>
            </w:pPr>
            <w:r>
              <w:rPr>
                <w:rFonts w:hint="default"/>
                <w:lang w:val="en-US" w:eastAsia="zh-CN"/>
              </w:rPr>
              <w:t>□建筑固有碳排放量计算分析报告（含减排措施）</w:t>
            </w:r>
          </w:p>
          <w:p>
            <w:pPr>
              <w:rPr>
                <w:rFonts w:hint="default"/>
                <w:lang w:val="en-US" w:eastAsia="zh-CN"/>
              </w:rPr>
            </w:pPr>
            <w:r>
              <w:rPr>
                <w:rFonts w:hint="default"/>
                <w:lang w:val="en-US" w:eastAsia="zh-CN"/>
              </w:rPr>
              <w:t>□运行工况下的碳排放量计算分析报告（含减排措施）</w:t>
            </w:r>
          </w:p>
        </w:tc>
        <w:tc>
          <w:tcPr>
            <w:tcW w:w="1625" w:type="dxa"/>
            <w:vAlign w:val="center"/>
          </w:tcPr>
          <w:p>
            <w:pPr>
              <w:rPr>
                <w:rFonts w:hint="default"/>
                <w:lang w:val="en-US" w:eastAsia="zh-CN"/>
              </w:rPr>
            </w:pPr>
            <w:r>
              <w:rPr>
                <w:rFonts w:hint="default"/>
                <w:lang w:val="en-US" w:eastAsia="zh-CN"/>
              </w:rPr>
              <w:t>得分：</w:t>
            </w:r>
          </w:p>
        </w:tc>
        <w:tc>
          <w:tcPr>
            <w:tcW w:w="1312"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3112" w:type="dxa"/>
            <w:gridSpan w:val="6"/>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p>
          <w:p>
            <w:pPr>
              <w:rPr>
                <w:rFonts w:hint="default"/>
                <w:lang w:val="en-US" w:eastAsia="zh-CN"/>
              </w:rPr>
            </w:pPr>
            <w:r>
              <w:rPr>
                <w:rFonts w:hint="default"/>
                <w:lang w:val="en-US" w:eastAsia="zh-CN"/>
              </w:rPr>
              <w:t>日期：</w:t>
            </w:r>
          </w:p>
          <w:p>
            <w:pPr>
              <w:rPr>
                <w:rFonts w:hint="default"/>
                <w:lang w:val="en-US" w:eastAsia="zh-CN"/>
              </w:rPr>
            </w:pPr>
          </w:p>
        </w:tc>
      </w:tr>
    </w:tbl>
    <w:p>
      <w:pPr>
        <w:rPr>
          <w:rFonts w:hint="default"/>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center"/>
        <w:rPr>
          <w:rFonts w:hint="default"/>
          <w:sz w:val="28"/>
          <w:szCs w:val="36"/>
          <w:lang w:val="en-US" w:eastAsia="zh-CN"/>
        </w:rPr>
      </w:pPr>
    </w:p>
    <w:p>
      <w:pPr>
        <w:jc w:val="both"/>
        <w:rPr>
          <w:rFonts w:hint="default"/>
          <w:sz w:val="28"/>
          <w:szCs w:val="36"/>
          <w:lang w:val="en-US" w:eastAsia="zh-CN"/>
        </w:rPr>
      </w:pPr>
    </w:p>
    <w:p>
      <w:pPr>
        <w:jc w:val="center"/>
        <w:rPr>
          <w:rFonts w:hint="default"/>
          <w:sz w:val="28"/>
          <w:szCs w:val="36"/>
          <w:lang w:val="en-US" w:eastAsia="zh-CN"/>
        </w:rPr>
      </w:pPr>
      <w:r>
        <w:rPr>
          <w:rFonts w:hint="default"/>
          <w:sz w:val="28"/>
          <w:szCs w:val="36"/>
          <w:lang w:val="en-US" w:eastAsia="zh-CN"/>
        </w:rPr>
        <w:t>绿色建筑工程验收专家评审意见表——室内外环境</w:t>
      </w:r>
    </w:p>
    <w:tbl>
      <w:tblPr>
        <w:tblStyle w:val="2"/>
        <w:tblW w:w="1302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63"/>
        <w:gridCol w:w="4350"/>
        <w:gridCol w:w="3725"/>
        <w:gridCol w:w="161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rPr>
                <w:rFonts w:hint="default"/>
                <w:lang w:val="en-US" w:eastAsia="zh-CN"/>
              </w:rPr>
            </w:pPr>
            <w:r>
              <w:rPr>
                <w:rFonts w:hint="default"/>
                <w:lang w:val="en-US" w:eastAsia="zh-CN"/>
              </w:rPr>
              <w:t>类别</w:t>
            </w:r>
          </w:p>
        </w:tc>
        <w:tc>
          <w:tcPr>
            <w:tcW w:w="1163" w:type="dxa"/>
            <w:vAlign w:val="center"/>
          </w:tcPr>
          <w:p>
            <w:pPr>
              <w:rPr>
                <w:rFonts w:hint="default"/>
                <w:lang w:val="en-US" w:eastAsia="zh-CN"/>
              </w:rPr>
            </w:pPr>
            <w:r>
              <w:rPr>
                <w:rFonts w:hint="default"/>
                <w:lang w:val="en-US" w:eastAsia="zh-CN"/>
              </w:rPr>
              <w:t>评价标准条文编号</w:t>
            </w:r>
          </w:p>
        </w:tc>
        <w:tc>
          <w:tcPr>
            <w:tcW w:w="4350" w:type="dxa"/>
            <w:vAlign w:val="center"/>
          </w:tcPr>
          <w:p>
            <w:pPr>
              <w:rPr>
                <w:rFonts w:hint="default"/>
                <w:lang w:val="en-US" w:eastAsia="zh-CN"/>
              </w:rPr>
            </w:pPr>
            <w:r>
              <w:rPr>
                <w:rFonts w:hint="default"/>
                <w:lang w:val="en-US" w:eastAsia="zh-CN"/>
              </w:rPr>
              <w:t>条文内容及分值</w:t>
            </w:r>
          </w:p>
        </w:tc>
        <w:tc>
          <w:tcPr>
            <w:tcW w:w="3725" w:type="dxa"/>
            <w:vAlign w:val="center"/>
          </w:tcPr>
          <w:p>
            <w:pPr>
              <w:rPr>
                <w:rFonts w:hint="default"/>
                <w:lang w:val="en-US" w:eastAsia="zh-CN"/>
              </w:rPr>
            </w:pPr>
            <w:r>
              <w:rPr>
                <w:rFonts w:hint="default"/>
                <w:lang w:val="en-US" w:eastAsia="zh-CN"/>
              </w:rPr>
              <w:t>证明文件</w:t>
            </w:r>
          </w:p>
        </w:tc>
        <w:tc>
          <w:tcPr>
            <w:tcW w:w="1612" w:type="dxa"/>
            <w:vAlign w:val="center"/>
          </w:tcPr>
          <w:p>
            <w:pPr>
              <w:rPr>
                <w:rFonts w:hint="default"/>
                <w:lang w:val="en-US" w:eastAsia="zh-CN"/>
              </w:rPr>
            </w:pPr>
            <w:r>
              <w:rPr>
                <w:rFonts w:hint="default"/>
                <w:lang w:val="en-US" w:eastAsia="zh-CN"/>
              </w:rPr>
              <w:t>评审结果</w:t>
            </w:r>
          </w:p>
        </w:tc>
        <w:tc>
          <w:tcPr>
            <w:tcW w:w="1338" w:type="dxa"/>
            <w:vAlign w:val="center"/>
          </w:tcPr>
          <w:p>
            <w:pP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restart"/>
            <w:vAlign w:val="center"/>
          </w:tcPr>
          <w:p>
            <w:pPr>
              <w:rPr>
                <w:rFonts w:hint="default"/>
                <w:lang w:val="en-US" w:eastAsia="zh-CN"/>
              </w:rPr>
            </w:pPr>
            <w:r>
              <w:rPr>
                <w:rFonts w:hint="default"/>
                <w:lang w:val="en-US" w:eastAsia="zh-CN"/>
              </w:rPr>
              <w:t>控制项</w:t>
            </w:r>
          </w:p>
        </w:tc>
        <w:tc>
          <w:tcPr>
            <w:tcW w:w="1163" w:type="dxa"/>
            <w:vAlign w:val="center"/>
          </w:tcPr>
          <w:p>
            <w:pPr>
              <w:rPr>
                <w:rFonts w:hint="default"/>
                <w:lang w:val="en-US" w:eastAsia="zh-CN"/>
              </w:rPr>
            </w:pPr>
            <w:r>
              <w:rPr>
                <w:rFonts w:hint="default"/>
                <w:lang w:val="en-US" w:eastAsia="zh-CN"/>
              </w:rPr>
              <w:t xml:space="preserve">6．1．1 </w:t>
            </w:r>
          </w:p>
        </w:tc>
        <w:tc>
          <w:tcPr>
            <w:tcW w:w="4350" w:type="dxa"/>
            <w:vAlign w:val="center"/>
          </w:tcPr>
          <w:p>
            <w:pPr>
              <w:rPr>
                <w:rFonts w:hint="default"/>
                <w:lang w:val="en-US" w:eastAsia="zh-CN"/>
              </w:rPr>
            </w:pPr>
            <w:r>
              <w:rPr>
                <w:rFonts w:hint="default"/>
                <w:lang w:val="en-US" w:eastAsia="zh-CN"/>
              </w:rPr>
              <w:t>建筑、室外场地、公共绿地、城市道路相互之间应设置连贯的无障碍步行系统。</w:t>
            </w:r>
          </w:p>
        </w:tc>
        <w:tc>
          <w:tcPr>
            <w:tcW w:w="3725" w:type="dxa"/>
            <w:vAlign w:val="center"/>
          </w:tcPr>
          <w:p>
            <w:pPr>
              <w:rPr>
                <w:rFonts w:hint="default"/>
                <w:lang w:val="en-US" w:eastAsia="zh-CN"/>
              </w:rPr>
            </w:pPr>
            <w:r>
              <w:rPr>
                <w:rFonts w:hint="default"/>
                <w:lang w:val="en-US" w:eastAsia="zh-CN"/>
              </w:rPr>
              <w:t>查阅相关竣工图。</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6．1．2</w:t>
            </w:r>
          </w:p>
        </w:tc>
        <w:tc>
          <w:tcPr>
            <w:tcW w:w="4350" w:type="dxa"/>
            <w:vAlign w:val="center"/>
          </w:tcPr>
          <w:p>
            <w:pPr>
              <w:rPr>
                <w:rFonts w:hint="default"/>
                <w:lang w:val="en-US" w:eastAsia="zh-CN"/>
              </w:rPr>
            </w:pPr>
            <w:r>
              <w:rPr>
                <w:rFonts w:hint="default"/>
                <w:lang w:val="en-US" w:eastAsia="zh-CN"/>
              </w:rPr>
              <w:t xml:space="preserve"> 场地人行出入口500m内应设有公共交通站点或配备联系公共交通站点的专用接驳车。</w:t>
            </w:r>
          </w:p>
        </w:tc>
        <w:tc>
          <w:tcPr>
            <w:tcW w:w="3725" w:type="dxa"/>
            <w:vAlign w:val="center"/>
          </w:tcPr>
          <w:p>
            <w:pPr>
              <w:rPr>
                <w:rFonts w:hint="default"/>
                <w:lang w:val="en-US" w:eastAsia="zh-CN"/>
              </w:rPr>
            </w:pPr>
            <w:r>
              <w:rPr>
                <w:rFonts w:hint="default"/>
                <w:lang w:val="en-US" w:eastAsia="zh-CN"/>
              </w:rPr>
              <w:t>查阅相关竣工图。</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6．1．4</w:t>
            </w:r>
          </w:p>
        </w:tc>
        <w:tc>
          <w:tcPr>
            <w:tcW w:w="4350" w:type="dxa"/>
            <w:vAlign w:val="center"/>
          </w:tcPr>
          <w:p>
            <w:pPr>
              <w:rPr>
                <w:rFonts w:hint="default"/>
                <w:lang w:val="en-US" w:eastAsia="zh-CN"/>
              </w:rPr>
            </w:pPr>
            <w:r>
              <w:rPr>
                <w:rFonts w:hint="default"/>
                <w:lang w:val="en-US" w:eastAsia="zh-CN"/>
              </w:rPr>
              <w:t xml:space="preserve"> 自行车停车场所应位置合理、方便出入。</w:t>
            </w:r>
          </w:p>
        </w:tc>
        <w:tc>
          <w:tcPr>
            <w:tcW w:w="3725" w:type="dxa"/>
            <w:vAlign w:val="center"/>
          </w:tcPr>
          <w:p>
            <w:pPr>
              <w:rPr>
                <w:rFonts w:hint="default"/>
                <w:lang w:val="en-US" w:eastAsia="zh-CN"/>
              </w:rPr>
            </w:pPr>
            <w:r>
              <w:rPr>
                <w:rFonts w:hint="default"/>
                <w:lang w:val="en-US" w:eastAsia="zh-CN"/>
              </w:rPr>
              <w:t>查阅相关竣工图。</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8.1.1</w:t>
            </w:r>
          </w:p>
        </w:tc>
        <w:tc>
          <w:tcPr>
            <w:tcW w:w="4350" w:type="dxa"/>
            <w:vAlign w:val="center"/>
          </w:tcPr>
          <w:p>
            <w:pPr>
              <w:rPr>
                <w:rFonts w:hint="default"/>
                <w:lang w:val="en-US" w:eastAsia="zh-CN"/>
              </w:rPr>
            </w:pPr>
            <w:r>
              <w:rPr>
                <w:rFonts w:hint="default"/>
                <w:lang w:val="en-US" w:eastAsia="zh-CN"/>
              </w:rPr>
              <w:t>建筑规划布局应满足日照标准，且不得降低周边建筑的日照标准</w:t>
            </w:r>
          </w:p>
        </w:tc>
        <w:tc>
          <w:tcPr>
            <w:tcW w:w="3725" w:type="dxa"/>
            <w:vAlign w:val="center"/>
          </w:tcPr>
          <w:p>
            <w:pPr>
              <w:rPr>
                <w:rFonts w:hint="default"/>
                <w:lang w:val="en-US" w:eastAsia="zh-CN"/>
              </w:rPr>
            </w:pPr>
            <w:r>
              <w:rPr>
                <w:rFonts w:hint="default"/>
                <w:lang w:val="en-US" w:eastAsia="zh-CN"/>
              </w:rPr>
              <w:t>□施工图总平面图</w:t>
            </w:r>
          </w:p>
          <w:p>
            <w:pPr>
              <w:rPr>
                <w:rFonts w:hint="default"/>
                <w:lang w:val="en-US" w:eastAsia="zh-CN"/>
              </w:rPr>
            </w:pPr>
            <w:r>
              <w:rPr>
                <w:rFonts w:hint="default"/>
                <w:lang w:val="en-US" w:eastAsia="zh-CN"/>
              </w:rPr>
              <w:t>□竣工平面布置图</w:t>
            </w:r>
          </w:p>
          <w:p>
            <w:pPr>
              <w:rPr>
                <w:rFonts w:hint="default"/>
                <w:lang w:val="en-US" w:eastAsia="zh-CN"/>
              </w:rPr>
            </w:pPr>
            <w:r>
              <w:rPr>
                <w:rFonts w:hint="default"/>
                <w:lang w:val="en-US" w:eastAsia="zh-CN"/>
              </w:rPr>
              <w:t>□日照模拟分析报告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8.1.2</w:t>
            </w:r>
          </w:p>
        </w:tc>
        <w:tc>
          <w:tcPr>
            <w:tcW w:w="4350" w:type="dxa"/>
            <w:vAlign w:val="center"/>
          </w:tcPr>
          <w:p>
            <w:pPr>
              <w:rPr>
                <w:rFonts w:hint="default"/>
                <w:lang w:val="en-US" w:eastAsia="zh-CN"/>
              </w:rPr>
            </w:pPr>
            <w:r>
              <w:rPr>
                <w:rFonts w:hint="default"/>
                <w:lang w:val="en-US" w:eastAsia="zh-CN"/>
              </w:rPr>
              <w:t>室外热环境应满足国家现行有关标准的要求</w:t>
            </w:r>
          </w:p>
        </w:tc>
        <w:tc>
          <w:tcPr>
            <w:tcW w:w="3725" w:type="dxa"/>
            <w:vAlign w:val="center"/>
          </w:tcPr>
          <w:p>
            <w:pPr>
              <w:rPr>
                <w:rFonts w:hint="default"/>
                <w:lang w:val="en-US" w:eastAsia="zh-CN"/>
              </w:rPr>
            </w:pPr>
          </w:p>
          <w:p>
            <w:pPr>
              <w:rPr>
                <w:rFonts w:hint="default"/>
                <w:lang w:val="en-US" w:eastAsia="zh-CN"/>
              </w:rPr>
            </w:pPr>
            <w:r>
              <w:rPr>
                <w:rFonts w:hint="default"/>
                <w:lang w:val="en-US" w:eastAsia="zh-CN"/>
              </w:rPr>
              <w:t>□屋面太阳辐射反射系数检测报告</w:t>
            </w:r>
          </w:p>
          <w:p>
            <w:pPr>
              <w:rPr>
                <w:rFonts w:hint="default"/>
                <w:lang w:val="en-US" w:eastAsia="zh-CN"/>
              </w:rPr>
            </w:pPr>
            <w:r>
              <w:rPr>
                <w:rFonts w:hint="default"/>
                <w:lang w:val="en-US" w:eastAsia="zh-CN"/>
              </w:rPr>
              <w:t>□场地热环境计算报告</w:t>
            </w:r>
          </w:p>
          <w:p>
            <w:pPr>
              <w:rPr>
                <w:rFonts w:hint="default"/>
                <w:lang w:val="en-US" w:eastAsia="zh-CN"/>
              </w:rPr>
            </w:pP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8.1.5</w:t>
            </w:r>
          </w:p>
        </w:tc>
        <w:tc>
          <w:tcPr>
            <w:tcW w:w="4350" w:type="dxa"/>
            <w:vAlign w:val="center"/>
          </w:tcPr>
          <w:p>
            <w:pPr>
              <w:rPr>
                <w:rFonts w:hint="default"/>
                <w:lang w:val="en-US" w:eastAsia="zh-CN"/>
              </w:rPr>
            </w:pPr>
            <w:r>
              <w:rPr>
                <w:rFonts w:hint="default"/>
                <w:lang w:val="en-US" w:eastAsia="zh-CN"/>
              </w:rPr>
              <w:t>建筑内外应设置便利于识别和是用的标识系统。</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□现场核查</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8.1.6</w:t>
            </w:r>
          </w:p>
        </w:tc>
        <w:tc>
          <w:tcPr>
            <w:tcW w:w="4350" w:type="dxa"/>
            <w:vAlign w:val="center"/>
          </w:tcPr>
          <w:p>
            <w:pPr>
              <w:rPr>
                <w:rFonts w:hint="default"/>
                <w:lang w:val="en-US" w:eastAsia="zh-CN"/>
              </w:rPr>
            </w:pPr>
            <w:r>
              <w:rPr>
                <w:rFonts w:hint="default"/>
                <w:lang w:val="en-US" w:eastAsia="zh-CN"/>
              </w:rPr>
              <w:t>场地内不应有排放超标的污染源。</w:t>
            </w:r>
          </w:p>
        </w:tc>
        <w:tc>
          <w:tcPr>
            <w:tcW w:w="3725" w:type="dxa"/>
            <w:vAlign w:val="center"/>
          </w:tcPr>
          <w:p>
            <w:pPr>
              <w:rPr>
                <w:rFonts w:hint="default"/>
                <w:lang w:val="en-US" w:eastAsia="zh-CN"/>
              </w:rPr>
            </w:pPr>
            <w:r>
              <w:rPr>
                <w:rFonts w:hint="default"/>
                <w:lang w:val="en-US" w:eastAsia="zh-CN"/>
              </w:rPr>
              <w:t>□建筑总平面图</w:t>
            </w:r>
          </w:p>
          <w:p>
            <w:pPr>
              <w:rPr>
                <w:rFonts w:hint="default"/>
                <w:lang w:val="en-US" w:eastAsia="zh-CN"/>
              </w:rPr>
            </w:pPr>
            <w:r>
              <w:rPr>
                <w:rFonts w:hint="default"/>
                <w:lang w:val="en-US" w:eastAsia="zh-CN"/>
              </w:rPr>
              <w:t>□环评报告及其批复</w:t>
            </w:r>
          </w:p>
          <w:p>
            <w:pPr>
              <w:rPr>
                <w:rFonts w:hint="default"/>
                <w:lang w:val="en-US" w:eastAsia="zh-CN"/>
              </w:rPr>
            </w:pPr>
            <w:r>
              <w:rPr>
                <w:rFonts w:hint="default"/>
                <w:lang w:val="en-US" w:eastAsia="zh-CN"/>
              </w:rPr>
              <w:t>□治理措施分析报告</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8.1.7</w:t>
            </w:r>
          </w:p>
        </w:tc>
        <w:tc>
          <w:tcPr>
            <w:tcW w:w="4350" w:type="dxa"/>
            <w:vAlign w:val="center"/>
          </w:tcPr>
          <w:p>
            <w:pPr>
              <w:rPr>
                <w:rFonts w:hint="default"/>
                <w:lang w:val="en-US" w:eastAsia="zh-CN"/>
              </w:rPr>
            </w:pPr>
            <w:r>
              <w:rPr>
                <w:rFonts w:hint="default"/>
                <w:lang w:val="en-US" w:eastAsia="zh-CN"/>
              </w:rPr>
              <w:t>生活垃圾应分类收集，垃圾容器和收集点的设置应合理并应与周围景观协调。</w:t>
            </w:r>
          </w:p>
        </w:tc>
        <w:tc>
          <w:tcPr>
            <w:tcW w:w="3725" w:type="dxa"/>
            <w:vAlign w:val="center"/>
          </w:tcPr>
          <w:p>
            <w:pPr>
              <w:rPr>
                <w:rFonts w:hint="default"/>
                <w:lang w:val="en-US" w:eastAsia="zh-CN"/>
              </w:rPr>
            </w:pPr>
            <w:r>
              <w:rPr>
                <w:rFonts w:hint="default"/>
                <w:lang w:val="en-US" w:eastAsia="zh-CN"/>
              </w:rPr>
              <w:t>□垃圾收集布置图</w:t>
            </w:r>
          </w:p>
          <w:p>
            <w:pPr>
              <w:rPr>
                <w:rFonts w:hint="default"/>
                <w:lang w:val="en-US" w:eastAsia="zh-CN"/>
              </w:rPr>
            </w:pPr>
            <w:r>
              <w:rPr>
                <w:rFonts w:hint="default"/>
                <w:lang w:val="en-US" w:eastAsia="zh-CN"/>
              </w:rPr>
              <w:t>□竣工图及相关管理制度</w:t>
            </w:r>
          </w:p>
          <w:p>
            <w:pPr>
              <w:rPr>
                <w:rFonts w:hint="default"/>
                <w:lang w:val="en-US" w:eastAsia="zh-CN"/>
              </w:rPr>
            </w:pPr>
            <w:r>
              <w:rPr>
                <w:rFonts w:hint="default"/>
                <w:lang w:val="en-US" w:eastAsia="zh-CN"/>
              </w:rPr>
              <w:t>□现场核查</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37" w:type="dxa"/>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 xml:space="preserve">6．2．1 </w:t>
            </w:r>
          </w:p>
        </w:tc>
        <w:tc>
          <w:tcPr>
            <w:tcW w:w="4350" w:type="dxa"/>
            <w:vAlign w:val="center"/>
          </w:tcPr>
          <w:p>
            <w:pPr>
              <w:rPr>
                <w:rFonts w:hint="default"/>
                <w:lang w:val="en-US" w:eastAsia="zh-CN"/>
              </w:rPr>
            </w:pPr>
            <w:r>
              <w:rPr>
                <w:rFonts w:hint="default"/>
                <w:lang w:val="en-US" w:eastAsia="zh-CN"/>
              </w:rPr>
              <w:t>场地与公共交通站点联系便捷，评价总分值为8分，并按下列规则分别评分并累计：</w:t>
            </w:r>
            <w:r>
              <w:rPr>
                <w:rFonts w:hint="default"/>
                <w:lang w:val="en-US" w:eastAsia="zh-CN"/>
              </w:rPr>
              <w:br w:type="textWrapping"/>
            </w:r>
            <w:r>
              <w:rPr>
                <w:rFonts w:hint="default"/>
                <w:lang w:val="en-US" w:eastAsia="zh-CN"/>
              </w:rPr>
              <w:t>    1 场地出入口到达公共交通站点的步行距离不超过500m，或到达轨道交通站的步行距离不大于800m，得2分；场地出入口到达公共交通站点的步行距离不超过300m，或到达轨道交通站的步行距离不大于500m，得4分；</w:t>
            </w:r>
            <w:r>
              <w:rPr>
                <w:rFonts w:hint="default"/>
                <w:lang w:val="en-US" w:eastAsia="zh-CN"/>
              </w:rPr>
              <w:br w:type="textWrapping"/>
            </w:r>
            <w:r>
              <w:rPr>
                <w:rFonts w:hint="default"/>
                <w:lang w:val="en-US" w:eastAsia="zh-CN"/>
              </w:rPr>
              <w:t>    2 场地出入口步行距离800m范围内设有不少于2条线路的公共交通站点，得4分。</w:t>
            </w:r>
          </w:p>
        </w:tc>
        <w:tc>
          <w:tcPr>
            <w:tcW w:w="3725" w:type="dxa"/>
            <w:vAlign w:val="center"/>
          </w:tcPr>
          <w:p>
            <w:pPr>
              <w:rPr>
                <w:rFonts w:hint="default"/>
                <w:lang w:val="en-US" w:eastAsia="zh-CN"/>
              </w:rPr>
            </w:pPr>
            <w:r>
              <w:rPr>
                <w:rFonts w:hint="default"/>
                <w:lang w:val="en-US" w:eastAsia="zh-CN"/>
              </w:rPr>
              <w:t>查阅相关竣工图。</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37" w:type="dxa"/>
            <w:vMerge w:val="restart"/>
            <w:vAlign w:val="center"/>
          </w:tcPr>
          <w:p>
            <w:pPr>
              <w:rPr>
                <w:rFonts w:hint="default"/>
                <w:lang w:val="en-US" w:eastAsia="zh-CN"/>
              </w:rPr>
            </w:pPr>
            <w:r>
              <w:rPr>
                <w:rFonts w:hint="default"/>
                <w:lang w:val="en-US" w:eastAsia="zh-CN"/>
              </w:rPr>
              <w:t>评分项</w:t>
            </w:r>
          </w:p>
        </w:tc>
        <w:tc>
          <w:tcPr>
            <w:tcW w:w="1163" w:type="dxa"/>
            <w:vAlign w:val="center"/>
          </w:tcPr>
          <w:p>
            <w:pPr>
              <w:rPr>
                <w:rFonts w:hint="default"/>
                <w:lang w:val="en-US" w:eastAsia="zh-CN"/>
              </w:rPr>
            </w:pPr>
            <w:r>
              <w:rPr>
                <w:rFonts w:hint="default"/>
                <w:lang w:val="en-US" w:eastAsia="zh-CN"/>
              </w:rPr>
              <w:t xml:space="preserve">6．2．3 </w:t>
            </w:r>
          </w:p>
        </w:tc>
        <w:tc>
          <w:tcPr>
            <w:tcW w:w="4350" w:type="dxa"/>
            <w:vAlign w:val="center"/>
          </w:tcPr>
          <w:p>
            <w:pPr>
              <w:rPr>
                <w:rFonts w:hint="default"/>
                <w:lang w:val="en-US" w:eastAsia="zh-CN"/>
              </w:rPr>
            </w:pPr>
            <w:r>
              <w:rPr>
                <w:rFonts w:hint="default"/>
                <w:lang w:val="en-US" w:eastAsia="zh-CN"/>
              </w:rPr>
              <w:t>提供便利的公共服务，评价总分值为10分，并按下列规则评分：</w:t>
            </w:r>
            <w:r>
              <w:rPr>
                <w:rFonts w:hint="default"/>
                <w:lang w:val="en-US" w:eastAsia="zh-CN"/>
              </w:rPr>
              <w:br w:type="textWrapping"/>
            </w:r>
            <w:r>
              <w:rPr>
                <w:rFonts w:hint="default"/>
                <w:lang w:val="en-US" w:eastAsia="zh-CN"/>
              </w:rPr>
              <w:t>    1 住宅建筑，满足下列要求中的4项，得5分；满足6项及以上，得10分。</w:t>
            </w:r>
            <w:r>
              <w:rPr>
                <w:rFonts w:hint="default"/>
                <w:lang w:val="en-US" w:eastAsia="zh-CN"/>
              </w:rPr>
              <w:br w:type="textWrapping"/>
            </w:r>
            <w:r>
              <w:rPr>
                <w:rFonts w:hint="default"/>
                <w:lang w:val="en-US" w:eastAsia="zh-CN"/>
              </w:rPr>
              <w:t>     1)场地出入口到达幼儿园的步行距离不大于300m；</w:t>
            </w:r>
            <w:r>
              <w:rPr>
                <w:rFonts w:hint="default"/>
                <w:lang w:val="en-US" w:eastAsia="zh-CN"/>
              </w:rPr>
              <w:br w:type="textWrapping"/>
            </w:r>
            <w:r>
              <w:rPr>
                <w:rFonts w:hint="default"/>
                <w:lang w:val="en-US" w:eastAsia="zh-CN"/>
              </w:rPr>
              <w:t>     2)场地出入口到达小学的步行距离不大于500m；</w:t>
            </w:r>
            <w:r>
              <w:rPr>
                <w:rFonts w:hint="default"/>
                <w:lang w:val="en-US" w:eastAsia="zh-CN"/>
              </w:rPr>
              <w:br w:type="textWrapping"/>
            </w:r>
            <w:r>
              <w:rPr>
                <w:rFonts w:hint="default"/>
                <w:lang w:val="en-US" w:eastAsia="zh-CN"/>
              </w:rPr>
              <w:t>     3)场地出入口到达中学的步行距离不大于1000m；</w:t>
            </w:r>
            <w:r>
              <w:rPr>
                <w:rFonts w:hint="default"/>
                <w:lang w:val="en-US" w:eastAsia="zh-CN"/>
              </w:rPr>
              <w:br w:type="textWrapping"/>
            </w:r>
            <w:r>
              <w:rPr>
                <w:rFonts w:hint="default"/>
                <w:lang w:val="en-US" w:eastAsia="zh-CN"/>
              </w:rPr>
              <w:t>     4)场地出入口到达医院的步行距离不大于1000m；</w:t>
            </w:r>
            <w:r>
              <w:rPr>
                <w:rFonts w:hint="default"/>
                <w:lang w:val="en-US" w:eastAsia="zh-CN"/>
              </w:rPr>
              <w:br w:type="textWrapping"/>
            </w:r>
            <w:r>
              <w:rPr>
                <w:rFonts w:hint="default"/>
                <w:lang w:val="en-US" w:eastAsia="zh-CN"/>
              </w:rPr>
              <w:t>     5)场地出入口到达群众文化活动设施的步行距离不大于800m；</w:t>
            </w:r>
            <w:r>
              <w:rPr>
                <w:rFonts w:hint="default"/>
                <w:lang w:val="en-US" w:eastAsia="zh-CN"/>
              </w:rPr>
              <w:br w:type="textWrapping"/>
            </w:r>
            <w:r>
              <w:rPr>
                <w:rFonts w:hint="default"/>
                <w:lang w:val="en-US" w:eastAsia="zh-CN"/>
              </w:rPr>
              <w:t>     6)场地出入口到达老年人日间照料设施的步行距离不大于500m；</w:t>
            </w:r>
            <w:r>
              <w:rPr>
                <w:rFonts w:hint="default"/>
                <w:lang w:val="en-US" w:eastAsia="zh-CN"/>
              </w:rPr>
              <w:br w:type="textWrapping"/>
            </w:r>
            <w:r>
              <w:rPr>
                <w:rFonts w:hint="default"/>
                <w:lang w:val="en-US" w:eastAsia="zh-CN"/>
              </w:rPr>
              <w:t>     7)场地周边500m范围内具有不少于3种商业服务设施。</w:t>
            </w:r>
            <w:r>
              <w:rPr>
                <w:rFonts w:hint="default"/>
                <w:lang w:val="en-US" w:eastAsia="zh-CN"/>
              </w:rPr>
              <w:br w:type="textWrapping"/>
            </w:r>
            <w:r>
              <w:rPr>
                <w:rFonts w:hint="default"/>
                <w:lang w:val="en-US" w:eastAsia="zh-CN"/>
              </w:rPr>
              <w:t>    2 公共建筑，满足下列要求中的3项，得5分；满足5项，得10分。</w:t>
            </w:r>
            <w:r>
              <w:rPr>
                <w:rFonts w:hint="default"/>
                <w:lang w:val="en-US" w:eastAsia="zh-CN"/>
              </w:rPr>
              <w:br w:type="textWrapping"/>
            </w:r>
            <w:r>
              <w:rPr>
                <w:rFonts w:hint="default"/>
                <w:lang w:val="en-US" w:eastAsia="zh-CN"/>
              </w:rPr>
              <w:t>     1)建筑内至少兼容2种面向社会的公共服务功能；</w:t>
            </w:r>
            <w:r>
              <w:rPr>
                <w:rFonts w:hint="default"/>
                <w:lang w:val="en-US" w:eastAsia="zh-CN"/>
              </w:rPr>
              <w:br w:type="textWrapping"/>
            </w:r>
            <w:r>
              <w:rPr>
                <w:rFonts w:hint="default"/>
                <w:lang w:val="en-US" w:eastAsia="zh-CN"/>
              </w:rPr>
              <w:t>     2)建筑向社会公众提供开放的公共活动空间；</w:t>
            </w:r>
            <w:r>
              <w:rPr>
                <w:rFonts w:hint="default"/>
                <w:lang w:val="en-US" w:eastAsia="zh-CN"/>
              </w:rPr>
              <w:br w:type="textWrapping"/>
            </w:r>
            <w:r>
              <w:rPr>
                <w:rFonts w:hint="default"/>
                <w:lang w:val="en-US" w:eastAsia="zh-CN"/>
              </w:rPr>
              <w:t>     3)电动汽车充电桩的车位数占总车位数的比例不低于10％；</w:t>
            </w:r>
            <w:r>
              <w:rPr>
                <w:rFonts w:hint="default"/>
                <w:lang w:val="en-US" w:eastAsia="zh-CN"/>
              </w:rPr>
              <w:br w:type="textWrapping"/>
            </w:r>
            <w:r>
              <w:rPr>
                <w:rFonts w:hint="default"/>
                <w:lang w:val="en-US" w:eastAsia="zh-CN"/>
              </w:rPr>
              <w:t>     4)周边500m范围内设有社会公共停车场(库)；</w:t>
            </w:r>
            <w:r>
              <w:rPr>
                <w:rFonts w:hint="default"/>
                <w:lang w:val="en-US" w:eastAsia="zh-CN"/>
              </w:rPr>
              <w:br w:type="textWrapping"/>
            </w:r>
            <w:r>
              <w:rPr>
                <w:rFonts w:hint="default"/>
                <w:lang w:val="en-US" w:eastAsia="zh-CN"/>
              </w:rPr>
              <w:t>     5)场地不封闭或场地内步行公共通道向社会开放。</w:t>
            </w:r>
          </w:p>
        </w:tc>
        <w:tc>
          <w:tcPr>
            <w:tcW w:w="3725" w:type="dxa"/>
            <w:vAlign w:val="center"/>
          </w:tcPr>
          <w:p>
            <w:pPr>
              <w:rPr>
                <w:rFonts w:hint="default"/>
                <w:lang w:val="en-US" w:eastAsia="zh-CN"/>
              </w:rPr>
            </w:pPr>
            <w:r>
              <w:rPr>
                <w:rFonts w:hint="default"/>
                <w:lang w:val="en-US" w:eastAsia="zh-CN"/>
              </w:rPr>
              <w:t>查阅相关竣工图，投入使用的项目尚应查阅设施向社会共享的实施方案、工作记录等。</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 xml:space="preserve">6．2．4 </w:t>
            </w:r>
          </w:p>
        </w:tc>
        <w:tc>
          <w:tcPr>
            <w:tcW w:w="4350" w:type="dxa"/>
            <w:vAlign w:val="center"/>
          </w:tcPr>
          <w:p>
            <w:pPr>
              <w:rPr>
                <w:rFonts w:hint="default"/>
                <w:lang w:val="en-US" w:eastAsia="zh-CN"/>
              </w:rPr>
            </w:pPr>
            <w:r>
              <w:rPr>
                <w:rFonts w:hint="default"/>
                <w:lang w:val="en-US" w:eastAsia="zh-CN"/>
              </w:rPr>
              <w:t>城市绿地、广场及公共运动场地等开敞空间，步行可达，评价总分值为5分，并按下列规则分别评分并累计：</w:t>
            </w:r>
            <w:r>
              <w:rPr>
                <w:rFonts w:hint="default"/>
                <w:lang w:val="en-US" w:eastAsia="zh-CN"/>
              </w:rPr>
              <w:br w:type="textWrapping"/>
            </w:r>
            <w:r>
              <w:rPr>
                <w:rFonts w:hint="default"/>
                <w:lang w:val="en-US" w:eastAsia="zh-CN"/>
              </w:rPr>
              <w:t>    1 场地出入口到达城市公园绿地、居住区公园、广场的步行距离不大于300m，得3分；</w:t>
            </w:r>
            <w:r>
              <w:rPr>
                <w:rFonts w:hint="default"/>
                <w:lang w:val="en-US" w:eastAsia="zh-CN"/>
              </w:rPr>
              <w:br w:type="textWrapping"/>
            </w:r>
            <w:r>
              <w:rPr>
                <w:rFonts w:hint="default"/>
                <w:lang w:val="en-US" w:eastAsia="zh-CN"/>
              </w:rPr>
              <w:t>    2 到达中型多功能运动场地的步行距离不大于500m，得2分。</w:t>
            </w:r>
          </w:p>
        </w:tc>
        <w:tc>
          <w:tcPr>
            <w:tcW w:w="3725" w:type="dxa"/>
            <w:vAlign w:val="center"/>
          </w:tcPr>
          <w:p>
            <w:pPr>
              <w:rPr>
                <w:rFonts w:hint="default"/>
                <w:lang w:val="en-US" w:eastAsia="zh-CN"/>
              </w:rPr>
            </w:pPr>
            <w:r>
              <w:rPr>
                <w:rFonts w:hint="default"/>
                <w:lang w:val="en-US" w:eastAsia="zh-CN"/>
              </w:rPr>
              <w:t>查阅相关竣工图。</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 xml:space="preserve">6．2．5 </w:t>
            </w:r>
          </w:p>
        </w:tc>
        <w:tc>
          <w:tcPr>
            <w:tcW w:w="4350" w:type="dxa"/>
            <w:vAlign w:val="center"/>
          </w:tcPr>
          <w:p>
            <w:pPr>
              <w:rPr>
                <w:rFonts w:hint="default"/>
                <w:lang w:val="en-US" w:eastAsia="zh-CN"/>
              </w:rPr>
            </w:pPr>
            <w:r>
              <w:rPr>
                <w:rFonts w:hint="default"/>
                <w:lang w:val="en-US" w:eastAsia="zh-CN"/>
              </w:rPr>
              <w:t>合理设置健身场地和空间，评价总分值为10分，并按下列规则分别评分并累计：</w:t>
            </w:r>
            <w:r>
              <w:rPr>
                <w:rFonts w:hint="default"/>
                <w:lang w:val="en-US" w:eastAsia="zh-CN"/>
              </w:rPr>
              <w:br w:type="textWrapping"/>
            </w:r>
            <w:r>
              <w:rPr>
                <w:rFonts w:hint="default"/>
                <w:lang w:val="en-US" w:eastAsia="zh-CN"/>
              </w:rPr>
              <w:t>    1 室外健身场地面积不少于总用地面积的0．5％，得3分；</w:t>
            </w:r>
            <w:r>
              <w:rPr>
                <w:rFonts w:hint="default"/>
                <w:lang w:val="en-US" w:eastAsia="zh-CN"/>
              </w:rPr>
              <w:br w:type="textWrapping"/>
            </w:r>
            <w:r>
              <w:rPr>
                <w:rFonts w:hint="default"/>
                <w:lang w:val="en-US" w:eastAsia="zh-CN"/>
              </w:rPr>
              <w:t>    2 设置宽度不少于1．25m的专用健身慢行道，健身慢行道长度不少于用地红线周长的1/4且不少于1OOm，得2分；</w:t>
            </w:r>
            <w:r>
              <w:rPr>
                <w:rFonts w:hint="default"/>
                <w:lang w:val="en-US" w:eastAsia="zh-CN"/>
              </w:rPr>
              <w:br w:type="textWrapping"/>
            </w:r>
            <w:r>
              <w:rPr>
                <w:rFonts w:hint="default"/>
                <w:lang w:val="en-US" w:eastAsia="zh-CN"/>
              </w:rPr>
              <w:t>    3 室内健身空间的面积不少于地上建筑面积的0．3％且不少于60m2，得3分；</w:t>
            </w:r>
            <w:r>
              <w:rPr>
                <w:rFonts w:hint="default"/>
                <w:lang w:val="en-US" w:eastAsia="zh-CN"/>
              </w:rPr>
              <w:br w:type="textWrapping"/>
            </w:r>
            <w:r>
              <w:rPr>
                <w:rFonts w:hint="default"/>
                <w:lang w:val="en-US" w:eastAsia="zh-CN"/>
              </w:rPr>
              <w:t>    4 楼梯间具有天然采光和良好的视野，且距离主入口的距离不大于15m，得2分。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□产品说明书</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 xml:space="preserve">6．2．10 </w:t>
            </w:r>
          </w:p>
        </w:tc>
        <w:tc>
          <w:tcPr>
            <w:tcW w:w="4350" w:type="dxa"/>
            <w:vAlign w:val="center"/>
          </w:tcPr>
          <w:p>
            <w:pPr>
              <w:rPr>
                <w:rFonts w:hint="default"/>
                <w:lang w:val="en-US" w:eastAsia="zh-CN"/>
              </w:rPr>
            </w:pPr>
            <w:r>
              <w:rPr>
                <w:rFonts w:hint="default"/>
                <w:lang w:val="en-US" w:eastAsia="zh-CN"/>
              </w:rPr>
              <w:t>制定完善的节能、节水、节材、绿化的操作规程、应急预案，实施能源资源管理激励机制，且有效实施，评价总分值为5分，并按下列规则分别评分并累计：</w:t>
            </w:r>
            <w:r>
              <w:rPr>
                <w:rFonts w:hint="default"/>
                <w:lang w:val="en-US" w:eastAsia="zh-CN"/>
              </w:rPr>
              <w:br w:type="textWrapping"/>
            </w:r>
            <w:r>
              <w:rPr>
                <w:rFonts w:hint="default"/>
                <w:lang w:val="en-US" w:eastAsia="zh-CN"/>
              </w:rPr>
              <w:t>    1 相关设施具有完善的操作规程和应急预案，得2分；</w:t>
            </w:r>
            <w:r>
              <w:rPr>
                <w:rFonts w:hint="default"/>
                <w:lang w:val="en-US" w:eastAsia="zh-CN"/>
              </w:rPr>
              <w:br w:type="textWrapping"/>
            </w:r>
            <w:r>
              <w:rPr>
                <w:rFonts w:hint="default"/>
                <w:lang w:val="en-US" w:eastAsia="zh-CN"/>
              </w:rPr>
              <w:t>    2 物业管理机构的工作考核体系中包含节能和节水绩效考核激励机制，得3分。</w:t>
            </w:r>
          </w:p>
        </w:tc>
        <w:tc>
          <w:tcPr>
            <w:tcW w:w="3725" w:type="dxa"/>
            <w:vAlign w:val="center"/>
          </w:tcPr>
          <w:p>
            <w:pPr>
              <w:rPr>
                <w:rFonts w:hint="default"/>
                <w:lang w:val="en-US" w:eastAsia="zh-CN"/>
              </w:rPr>
            </w:pPr>
            <w:r>
              <w:rPr>
                <w:rFonts w:hint="default"/>
                <w:lang w:val="en-US" w:eastAsia="zh-CN"/>
              </w:rPr>
              <w:t>查阅相关竣工图、产品说明书。</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6．2．13</w:t>
            </w:r>
          </w:p>
        </w:tc>
        <w:tc>
          <w:tcPr>
            <w:tcW w:w="4350" w:type="dxa"/>
            <w:vAlign w:val="center"/>
          </w:tcPr>
          <w:p>
            <w:pPr>
              <w:rPr>
                <w:rFonts w:hint="default"/>
                <w:lang w:val="en-US" w:eastAsia="zh-CN"/>
              </w:rPr>
            </w:pPr>
            <w:r>
              <w:rPr>
                <w:rFonts w:hint="default"/>
                <w:lang w:val="en-US" w:eastAsia="zh-CN"/>
              </w:rPr>
              <w:t xml:space="preserve"> 建立绿色教育宣传和实践机制，编制绿色设施使用手册，形成良好的绿色氛围，并定期开展使用者满意度调查，评价总分值为8分，并按下列规则分别评分并累计：</w:t>
            </w:r>
            <w:r>
              <w:rPr>
                <w:rFonts w:hint="default"/>
                <w:lang w:val="en-US" w:eastAsia="zh-CN"/>
              </w:rPr>
              <w:br w:type="textWrapping"/>
            </w:r>
            <w:r>
              <w:rPr>
                <w:rFonts w:hint="default"/>
                <w:lang w:val="en-US" w:eastAsia="zh-CN"/>
              </w:rPr>
              <w:t>    1 每年组织不少于2次的绿色建筑技术宣传、绿色生活引导、灾害应急演练等绿色教育宣传和实践活动，并有活动记录，得2分；</w:t>
            </w:r>
            <w:r>
              <w:rPr>
                <w:rFonts w:hint="default"/>
                <w:lang w:val="en-US" w:eastAsia="zh-CN"/>
              </w:rPr>
              <w:br w:type="textWrapping"/>
            </w:r>
            <w:r>
              <w:rPr>
                <w:rFonts w:hint="default"/>
                <w:lang w:val="en-US" w:eastAsia="zh-CN"/>
              </w:rPr>
              <w:t>    2 具有绿色生活展示、体验或交流分享的平台，并向使用者提供绿色设施使用手册，得3分；</w:t>
            </w:r>
          </w:p>
          <w:p>
            <w:pPr>
              <w:rPr>
                <w:rFonts w:hint="default"/>
                <w:lang w:val="en-US" w:eastAsia="zh-CN"/>
              </w:rPr>
            </w:pPr>
            <w:r>
              <w:rPr>
                <w:rFonts w:hint="default"/>
                <w:lang w:val="en-US" w:eastAsia="zh-CN"/>
              </w:rPr>
              <w:t>3.每年开展1次针对建筑绿色性能的使用者满意度调查，且根据调查结果制定改进措施并实施、公示，得3分。</w:t>
            </w:r>
          </w:p>
        </w:tc>
        <w:tc>
          <w:tcPr>
            <w:tcW w:w="3725" w:type="dxa"/>
            <w:vAlign w:val="center"/>
          </w:tcPr>
          <w:p>
            <w:pPr>
              <w:rPr>
                <w:rFonts w:hint="default"/>
                <w:lang w:val="en-US" w:eastAsia="zh-CN"/>
              </w:rPr>
            </w:pPr>
            <w:r>
              <w:rPr>
                <w:rFonts w:hint="default"/>
                <w:lang w:val="en-US" w:eastAsia="zh-CN"/>
              </w:rPr>
              <w:t>查阅相关管理制度、工作记录、活动宣传和推送材料、绿色设施使用手册、影像材料、年度调查报告及整改方案。</w:t>
            </w:r>
          </w:p>
        </w:tc>
        <w:tc>
          <w:tcPr>
            <w:tcW w:w="1612" w:type="dxa"/>
            <w:vAlign w:val="center"/>
          </w:tcPr>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7.2.3</w:t>
            </w:r>
          </w:p>
        </w:tc>
        <w:tc>
          <w:tcPr>
            <w:tcW w:w="4350" w:type="dxa"/>
            <w:vAlign w:val="center"/>
          </w:tcPr>
          <w:p>
            <w:pPr>
              <w:rPr>
                <w:rFonts w:hint="default"/>
                <w:lang w:val="en-US" w:eastAsia="zh-CN"/>
              </w:rPr>
            </w:pPr>
            <w:r>
              <w:rPr>
                <w:rFonts w:hint="default"/>
                <w:lang w:val="en-US" w:eastAsia="zh-CN"/>
              </w:rPr>
              <w:t>采用机械式停车设施、地下停车库或地面停车楼等方式。（总分8分）</w:t>
            </w:r>
          </w:p>
        </w:tc>
        <w:tc>
          <w:tcPr>
            <w:tcW w:w="3725" w:type="dxa"/>
            <w:vAlign w:val="center"/>
          </w:tcPr>
          <w:p>
            <w:pPr>
              <w:rPr>
                <w:rFonts w:hint="default"/>
                <w:lang w:val="en-US" w:eastAsia="zh-CN"/>
              </w:rPr>
            </w:pPr>
            <w:r>
              <w:rPr>
                <w:rFonts w:hint="default"/>
                <w:lang w:val="en-US" w:eastAsia="zh-CN"/>
              </w:rPr>
              <w:t>□竣工图</w:t>
            </w:r>
          </w:p>
          <w:p>
            <w:pPr>
              <w:rPr>
                <w:rFonts w:hint="default"/>
                <w:lang w:val="en-US" w:eastAsia="zh-CN"/>
              </w:rPr>
            </w:pPr>
            <w:r>
              <w:rPr>
                <w:rFonts w:hint="default"/>
                <w:lang w:val="en-US" w:eastAsia="zh-CN"/>
              </w:rPr>
              <w:t>□相关计算书</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7.2.4</w:t>
            </w:r>
          </w:p>
        </w:tc>
        <w:tc>
          <w:tcPr>
            <w:tcW w:w="4350" w:type="dxa"/>
            <w:vAlign w:val="center"/>
          </w:tcPr>
          <w:p>
            <w:pPr>
              <w:rPr>
                <w:rFonts w:hint="default"/>
                <w:lang w:val="en-US" w:eastAsia="zh-CN"/>
              </w:rPr>
            </w:pPr>
            <w:r>
              <w:rPr>
                <w:rFonts w:hint="default"/>
                <w:lang w:val="en-US" w:eastAsia="zh-CN"/>
              </w:rPr>
              <w:t>优化建筑围护结构的热工性能：</w:t>
            </w:r>
          </w:p>
          <w:p>
            <w:pPr>
              <w:rPr>
                <w:rFonts w:hint="default"/>
                <w:lang w:val="en-US" w:eastAsia="zh-CN"/>
              </w:rPr>
            </w:pPr>
            <w:r>
              <w:rPr>
                <w:rFonts w:hint="default"/>
                <w:lang w:val="en-US" w:eastAsia="zh-CN"/>
              </w:rPr>
              <w:t>围护结构热工性能比国家现行相关建筑节能设计标准规定的提高幅度达到5%，得5分；达到10%，得10分；达到15%，得15分。或建筑供暖空调负荷降低5%，得5分；降低10%，得10分；降低15%，得15分。</w:t>
            </w:r>
          </w:p>
        </w:tc>
        <w:tc>
          <w:tcPr>
            <w:tcW w:w="3725" w:type="dxa"/>
            <w:vAlign w:val="center"/>
          </w:tcPr>
          <w:p>
            <w:pPr>
              <w:rPr>
                <w:rFonts w:hint="default"/>
                <w:lang w:val="en-US" w:eastAsia="zh-CN"/>
              </w:rPr>
            </w:pPr>
            <w:r>
              <w:rPr>
                <w:rFonts w:hint="default"/>
                <w:lang w:val="en-US" w:eastAsia="zh-CN"/>
              </w:rPr>
              <w:t>□节能工程验收文件</w:t>
            </w:r>
          </w:p>
          <w:p>
            <w:pPr>
              <w:rPr>
                <w:rFonts w:hint="default"/>
                <w:lang w:val="en-US" w:eastAsia="zh-CN"/>
              </w:rPr>
            </w:pPr>
            <w:r>
              <w:rPr>
                <w:rFonts w:hint="default"/>
                <w:lang w:val="en-US" w:eastAsia="zh-CN"/>
              </w:rPr>
              <w:t>□节能计算规定性指标相关的检验报告</w:t>
            </w:r>
          </w:p>
          <w:p>
            <w:pPr>
              <w:rPr>
                <w:rFonts w:hint="default"/>
                <w:lang w:val="en-US" w:eastAsia="zh-CN"/>
              </w:rPr>
            </w:pPr>
            <w:r>
              <w:rPr>
                <w:rFonts w:hint="default"/>
                <w:lang w:val="en-US" w:eastAsia="zh-CN"/>
              </w:rPr>
              <w:t>□供暖空调全年计算负荷报告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□一星级</w:t>
            </w:r>
          </w:p>
          <w:p>
            <w:pPr>
              <w:rPr>
                <w:rFonts w:hint="default"/>
                <w:lang w:val="en-US" w:eastAsia="zh-CN"/>
              </w:rPr>
            </w:pPr>
            <w:r>
              <w:rPr>
                <w:rFonts w:hint="default"/>
                <w:lang w:val="en-US" w:eastAsia="zh-CN"/>
              </w:rPr>
              <w:t>□二星级</w:t>
            </w:r>
          </w:p>
          <w:p>
            <w:pPr>
              <w:rPr>
                <w:rFonts w:hint="default"/>
                <w:lang w:val="en-US" w:eastAsia="zh-CN"/>
              </w:rPr>
            </w:pPr>
            <w:r>
              <w:rPr>
                <w:rFonts w:hint="default"/>
                <w:lang w:val="en-US" w:eastAsia="zh-CN"/>
              </w:rPr>
              <w:t>□三星级</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8.2.3</w:t>
            </w:r>
          </w:p>
        </w:tc>
        <w:tc>
          <w:tcPr>
            <w:tcW w:w="4350" w:type="dxa"/>
            <w:vAlign w:val="center"/>
          </w:tcPr>
          <w:p>
            <w:pPr>
              <w:rPr>
                <w:rFonts w:hint="default"/>
                <w:lang w:val="en-US" w:eastAsia="zh-CN"/>
              </w:rPr>
            </w:pPr>
          </w:p>
          <w:p>
            <w:pPr>
              <w:rPr>
                <w:rFonts w:hint="default"/>
                <w:lang w:val="en-US" w:eastAsia="zh-CN"/>
              </w:rPr>
            </w:pPr>
            <w:r>
              <w:rPr>
                <w:rFonts w:hint="default"/>
                <w:lang w:val="en-US" w:eastAsia="zh-CN"/>
              </w:rPr>
              <w:t>充分利用场地空间设置绿化用地，评价总分值16分。</w:t>
            </w:r>
            <w:r>
              <w:rPr>
                <w:rFonts w:hint="default"/>
                <w:lang w:val="en-US" w:eastAsia="zh-CN"/>
              </w:rPr>
              <w:br w:type="textWrapping"/>
            </w:r>
            <w:r>
              <w:rPr>
                <w:rFonts w:hint="default"/>
                <w:lang w:val="en-US" w:eastAsia="zh-CN"/>
              </w:rPr>
              <w:t>1.住宅建筑按下列规则评分并累计：绿地率达到规划指标105%及以上，得10分；</w:t>
            </w:r>
            <w:r>
              <w:rPr>
                <w:rFonts w:hint="default"/>
                <w:lang w:val="en-US" w:eastAsia="zh-CN"/>
              </w:rPr>
              <w:br w:type="textWrapping"/>
            </w:r>
            <w:r>
              <w:rPr>
                <w:rFonts w:hint="default"/>
                <w:lang w:val="en-US" w:eastAsia="zh-CN"/>
              </w:rPr>
              <w:t>住宅建筑锁在居住街坊内人均集中绿地面积，按表8.2.3的规则评分，最高得6分。</w:t>
            </w:r>
          </w:p>
          <w:p>
            <w:pPr>
              <w:rPr>
                <w:rFonts w:hint="default"/>
                <w:lang w:val="en-US" w:eastAsia="zh-CN"/>
              </w:rPr>
            </w:pPr>
          </w:p>
          <w:p>
            <w:pPr>
              <w:rPr>
                <w:rFonts w:hint="default"/>
                <w:lang w:val="en-US" w:eastAsia="zh-CN"/>
              </w:rPr>
            </w:pPr>
            <w:r>
              <w:rPr>
                <w:rFonts w:hint="default"/>
                <w:lang w:val="en-US" w:eastAsia="zh-CN"/>
              </w:rPr>
              <w:t>表8.2.3住宅建筑人均集中绿地面积规则评分</w:t>
            </w:r>
          </w:p>
          <w:p>
            <w:pPr>
              <w:rPr>
                <w:rFonts w:hint="default"/>
                <w:lang w:val="en-US" w:eastAsia="zh-CN"/>
              </w:rPr>
            </w:pPr>
          </w:p>
          <w:p>
            <w:pPr>
              <w:rPr>
                <w:rFonts w:hint="default"/>
                <w:lang w:val="en-US" w:eastAsia="zh-CN"/>
              </w:rPr>
            </w:pPr>
            <w:r>
              <w:rPr>
                <w:rFonts w:hint="default"/>
                <w:lang w:val="en-US" w:eastAsia="zh-CN"/>
              </w:rPr>
              <w:t>2.公共建筑按下列规则评分并累计：公共建筑绿地率达到规划指标105%及以上，得10分；</w:t>
            </w:r>
          </w:p>
          <w:p>
            <w:pPr>
              <w:rPr>
                <w:rFonts w:hint="default"/>
                <w:lang w:val="en-US" w:eastAsia="zh-CN"/>
              </w:rPr>
            </w:pPr>
            <w:r>
              <w:rPr>
                <w:rFonts w:hint="default"/>
                <w:lang w:val="en-US" w:eastAsia="zh-CN"/>
              </w:rPr>
              <w:t>绿地向公众开放，得6分。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□绿地率计算书</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8.2.4</w:t>
            </w:r>
          </w:p>
        </w:tc>
        <w:tc>
          <w:tcPr>
            <w:tcW w:w="4350" w:type="dxa"/>
            <w:vAlign w:val="center"/>
          </w:tcPr>
          <w:p>
            <w:pPr>
              <w:rPr>
                <w:rFonts w:hint="default"/>
                <w:lang w:val="en-US" w:eastAsia="zh-CN"/>
              </w:rPr>
            </w:pPr>
            <w:r>
              <w:rPr>
                <w:rFonts w:hint="default"/>
                <w:lang w:val="en-US" w:eastAsia="zh-CN"/>
              </w:rPr>
              <w:t>室外吸烟区位置布局合理，评价总分值为9分，并按下列规则分别评分并累计：</w:t>
            </w:r>
            <w:r>
              <w:rPr>
                <w:rFonts w:hint="default"/>
                <w:lang w:val="en-US" w:eastAsia="zh-CN"/>
              </w:rPr>
              <w:br w:type="textWrapping"/>
            </w:r>
            <w:r>
              <w:rPr>
                <w:rFonts w:hint="default"/>
                <w:lang w:val="en-US" w:eastAsia="zh-CN"/>
              </w:rPr>
              <w:t>1 室外吸烟区布置在建筑主出入口的主导风的下风向，与所有建筑出入口、新风进气口和可开启窗扇的距离不少于8m,且距离儿童和老人活动场地不少于8m, 得5分；</w:t>
            </w:r>
            <w:r>
              <w:rPr>
                <w:rFonts w:hint="default"/>
                <w:lang w:val="en-US" w:eastAsia="zh-CN"/>
              </w:rPr>
              <w:br w:type="textWrapping"/>
            </w:r>
            <w:r>
              <w:rPr>
                <w:rFonts w:hint="default"/>
                <w:lang w:val="en-US" w:eastAsia="zh-CN"/>
              </w:rPr>
              <w:t>2 室外吸烟区与绿植结合布置，并合理配置座椅和带烟头收集的垃圾筒，从建筑主出入口至室外吸烟区的导向标识完整、定位标识醒目，吸烟区设置吸烟有害健康的警示标识，得4分。</w:t>
            </w:r>
          </w:p>
        </w:tc>
        <w:tc>
          <w:tcPr>
            <w:tcW w:w="3725" w:type="dxa"/>
            <w:vAlign w:val="center"/>
          </w:tcPr>
          <w:p>
            <w:pPr>
              <w:rPr>
                <w:rFonts w:hint="default"/>
                <w:lang w:val="en-US" w:eastAsia="zh-CN"/>
              </w:rPr>
            </w:pPr>
            <w:r>
              <w:rPr>
                <w:rFonts w:hint="default"/>
                <w:lang w:val="en-US" w:eastAsia="zh-CN"/>
              </w:rPr>
              <w:t>□相关竣工图</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8.2.6</w:t>
            </w:r>
          </w:p>
        </w:tc>
        <w:tc>
          <w:tcPr>
            <w:tcW w:w="4350" w:type="dxa"/>
            <w:vAlign w:val="center"/>
          </w:tcPr>
          <w:p>
            <w:pPr>
              <w:rPr>
                <w:rFonts w:hint="default"/>
                <w:lang w:val="en-US" w:eastAsia="zh-CN"/>
              </w:rPr>
            </w:pPr>
            <w:r>
              <w:rPr>
                <w:rFonts w:hint="default"/>
                <w:lang w:val="en-US" w:eastAsia="zh-CN"/>
              </w:rPr>
              <w:t>场地内的环境噪声优于现行国家标准《声环境质量标准》GB 3096的要求，评价总分值为10分，并按下列规则评分：</w:t>
            </w:r>
            <w:r>
              <w:rPr>
                <w:rFonts w:hint="default"/>
                <w:lang w:val="en-US" w:eastAsia="zh-CN"/>
              </w:rPr>
              <w:br w:type="textWrapping"/>
            </w:r>
            <w:r>
              <w:rPr>
                <w:rFonts w:hint="default"/>
                <w:lang w:val="en-US" w:eastAsia="zh-CN"/>
              </w:rPr>
              <w:t>1 环境噪声值大于 2 类声环境功能区标准限值，且小千或等于3类声环境功能区标准限值，得5分。</w:t>
            </w:r>
            <w:r>
              <w:rPr>
                <w:rFonts w:hint="default"/>
                <w:lang w:val="en-US" w:eastAsia="zh-CN"/>
              </w:rPr>
              <w:br w:type="textWrapping"/>
            </w:r>
            <w:r>
              <w:rPr>
                <w:rFonts w:hint="default"/>
                <w:lang w:val="en-US" w:eastAsia="zh-CN"/>
              </w:rPr>
              <w:t>2 环境噪声值小于或等于2类声环境功能区标准限值，得10分。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□声环境检测报告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8.2.7</w:t>
            </w:r>
          </w:p>
        </w:tc>
        <w:tc>
          <w:tcPr>
            <w:tcW w:w="4350" w:type="dxa"/>
            <w:vAlign w:val="center"/>
          </w:tcPr>
          <w:p>
            <w:pPr>
              <w:rPr>
                <w:rFonts w:hint="default"/>
                <w:lang w:val="en-US" w:eastAsia="zh-CN"/>
              </w:rPr>
            </w:pPr>
            <w:r>
              <w:rPr>
                <w:rFonts w:hint="default"/>
                <w:lang w:val="en-US" w:eastAsia="zh-CN"/>
              </w:rPr>
              <w:t>建筑及照明设计避免产生光污染，评价总分值为 10 分，并按下列规则分别评分并累计：</w:t>
            </w:r>
            <w:r>
              <w:rPr>
                <w:rFonts w:hint="default"/>
                <w:lang w:val="en-US" w:eastAsia="zh-CN"/>
              </w:rPr>
              <w:br w:type="textWrapping"/>
            </w:r>
            <w:r>
              <w:rPr>
                <w:rFonts w:hint="default"/>
                <w:lang w:val="en-US" w:eastAsia="zh-CN"/>
              </w:rPr>
              <w:t>1 玻璃幕墙的可见光反射比及反射光对周边环境的影响符合《玻璃幕墙光热性能》 GB/T 18091的规定，得5分；</w:t>
            </w:r>
            <w:r>
              <w:rPr>
                <w:rFonts w:hint="default"/>
                <w:lang w:val="en-US" w:eastAsia="zh-CN"/>
              </w:rPr>
              <w:br w:type="textWrapping"/>
            </w:r>
            <w:r>
              <w:rPr>
                <w:rFonts w:hint="default"/>
                <w:lang w:val="en-US" w:eastAsia="zh-CN"/>
              </w:rPr>
              <w:t>2 室外夜景照明光污染的限制符合现行国家标准《室外照明干扰光限制规范》 GB/T 35626和现行行业标准《城市夜景照明设计规范》 JGJ/T 163 的规定,得 5分。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□光污染分析报告</w:t>
            </w:r>
          </w:p>
          <w:p>
            <w:pPr>
              <w:rPr>
                <w:rFonts w:hint="default"/>
                <w:lang w:val="en-US" w:eastAsia="zh-CN"/>
              </w:rPr>
            </w:pPr>
            <w:r>
              <w:rPr>
                <w:rFonts w:hint="default"/>
                <w:lang w:val="en-US" w:eastAsia="zh-CN"/>
              </w:rPr>
              <w:t>□现场检测报告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8.2.8</w:t>
            </w:r>
          </w:p>
        </w:tc>
        <w:tc>
          <w:tcPr>
            <w:tcW w:w="4350" w:type="dxa"/>
            <w:vAlign w:val="center"/>
          </w:tcPr>
          <w:p>
            <w:pPr>
              <w:rPr>
                <w:rFonts w:hint="default"/>
                <w:lang w:val="en-US" w:eastAsia="zh-CN"/>
              </w:rPr>
            </w:pPr>
            <w:r>
              <w:rPr>
                <w:rFonts w:hint="default"/>
                <w:lang w:val="en-US" w:eastAsia="zh-CN"/>
              </w:rPr>
              <w:t>场地内风环境有利于室外行走、活动舒适,建筑自然通风,评价总分值为10分,并按下列规则分别评分并累计：</w:t>
            </w:r>
            <w:r>
              <w:rPr>
                <w:rFonts w:hint="default"/>
                <w:lang w:val="en-US" w:eastAsia="zh-CN"/>
              </w:rPr>
              <w:br w:type="textWrapping"/>
            </w:r>
            <w:r>
              <w:rPr>
                <w:rFonts w:hint="default"/>
                <w:lang w:val="en-US" w:eastAsia="zh-CN"/>
              </w:rPr>
              <w:t>1.在冬季典型风速和风向条件下，按下列规则分别评分并累计：</w:t>
            </w:r>
            <w:r>
              <w:rPr>
                <w:rFonts w:hint="default"/>
                <w:lang w:val="en-US" w:eastAsia="zh-CN"/>
              </w:rPr>
              <w:br w:type="textWrapping"/>
            </w:r>
            <w:r>
              <w:rPr>
                <w:rFonts w:hint="default"/>
                <w:lang w:val="en-US" w:eastAsia="zh-CN"/>
              </w:rPr>
              <w:t>1)建筑物周围人行区距地高1. 5m处风速小于5m/s, 户外休息区、儿童娱乐区风速小于2m/s, 且室外风速放大系数小于2, 得3分；</w:t>
            </w:r>
            <w:r>
              <w:rPr>
                <w:rFonts w:hint="default"/>
                <w:lang w:val="en-US" w:eastAsia="zh-CN"/>
              </w:rPr>
              <w:br w:type="textWrapping"/>
            </w:r>
            <w:r>
              <w:rPr>
                <w:rFonts w:hint="default"/>
                <w:lang w:val="en-US" w:eastAsia="zh-CN"/>
              </w:rPr>
              <w:t>2)除迎风第一排建筑外，建筑迎风面与背风面表面风压差不大于5Pa, 得2分。</w:t>
            </w:r>
            <w:r>
              <w:rPr>
                <w:rFonts w:hint="default"/>
                <w:lang w:val="en-US" w:eastAsia="zh-CN"/>
              </w:rPr>
              <w:br w:type="textWrapping"/>
            </w:r>
            <w:r>
              <w:rPr>
                <w:rFonts w:hint="default"/>
                <w:lang w:val="en-US" w:eastAsia="zh-CN"/>
              </w:rPr>
              <w:t>2.过渡季、夏季典型风速和风向条件下，按下列规则分别评分并累计：</w:t>
            </w:r>
            <w:r>
              <w:rPr>
                <w:rFonts w:hint="default"/>
                <w:lang w:val="en-US" w:eastAsia="zh-CN"/>
              </w:rPr>
              <w:br w:type="textWrapping"/>
            </w:r>
            <w:r>
              <w:rPr>
                <w:rFonts w:hint="default"/>
                <w:lang w:val="en-US" w:eastAsia="zh-CN"/>
              </w:rPr>
              <w:t>1)场地内人活动区不出现涡旋或无风区，得3分；</w:t>
            </w:r>
            <w:r>
              <w:rPr>
                <w:rFonts w:hint="default"/>
                <w:lang w:val="en-US" w:eastAsia="zh-CN"/>
              </w:rPr>
              <w:br w:type="textWrapping"/>
            </w:r>
            <w:r>
              <w:rPr>
                <w:rFonts w:hint="default"/>
                <w:lang w:val="en-US" w:eastAsia="zh-CN"/>
              </w:rPr>
              <w:t>2)50%以上可开启外窗室内外表面的风压差大于0. 5Pa, 得2分。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□风环境分析报告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37" w:type="dxa"/>
            <w:vMerge w:val="continue"/>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8.2.9</w:t>
            </w:r>
          </w:p>
        </w:tc>
        <w:tc>
          <w:tcPr>
            <w:tcW w:w="4350" w:type="dxa"/>
            <w:vAlign w:val="center"/>
          </w:tcPr>
          <w:p>
            <w:pPr>
              <w:rPr>
                <w:rFonts w:hint="default"/>
                <w:lang w:val="en-US" w:eastAsia="zh-CN"/>
              </w:rPr>
            </w:pPr>
            <w:r>
              <w:rPr>
                <w:rFonts w:hint="default"/>
                <w:lang w:val="en-US" w:eastAsia="zh-CN"/>
              </w:rPr>
              <w:t>采取措施降低热岛强度，评价总分值为10分，按下列规则分别评分并累计：</w:t>
            </w:r>
            <w:r>
              <w:rPr>
                <w:rFonts w:hint="default"/>
                <w:lang w:val="en-US" w:eastAsia="zh-CN"/>
              </w:rPr>
              <w:br w:type="textWrapping"/>
            </w:r>
            <w:r>
              <w:rPr>
                <w:rFonts w:hint="default"/>
                <w:lang w:val="en-US" w:eastAsia="zh-CN"/>
              </w:rPr>
              <w:t>1.场地中处于建筑阴影区外的步道、游憩场、庭院、广场等室外活动场地设有乔木、花架等遮阴措施的面积比例,住宅建筑达到30%,,公共建筑达到10%,,得2分;住宅建筑达到50%,公共建筑达到20%,得3分；</w:t>
            </w:r>
            <w:r>
              <w:rPr>
                <w:rFonts w:hint="default"/>
                <w:lang w:val="en-US" w:eastAsia="zh-CN"/>
              </w:rPr>
              <w:br w:type="textWrapping"/>
            </w:r>
            <w:r>
              <w:rPr>
                <w:rFonts w:hint="default"/>
                <w:lang w:val="en-US" w:eastAsia="zh-CN"/>
              </w:rPr>
              <w:t>2.场地中处于建筑阴影区外的机动车道，路面太阳辐射反射系数不小于0.4或设有遮阴面积较大的行道树的路段长度超过70%, 得3分；</w:t>
            </w:r>
            <w:r>
              <w:rPr>
                <w:rFonts w:hint="default"/>
                <w:lang w:val="en-US" w:eastAsia="zh-CN"/>
              </w:rPr>
              <w:br w:type="textWrapping"/>
            </w:r>
            <w:r>
              <w:rPr>
                <w:rFonts w:hint="default"/>
                <w:lang w:val="en-US" w:eastAsia="zh-CN"/>
              </w:rPr>
              <w:t>3.屋顶的绿化面积、太阳能板水平投影面积以及太阳辐射反射系数不小于0.4屋面面积合计达到75%,得4分。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□日照分析报告、计算书</w:t>
            </w:r>
          </w:p>
          <w:p>
            <w:pPr>
              <w:rPr>
                <w:rFonts w:hint="default"/>
                <w:lang w:val="en-US" w:eastAsia="zh-CN"/>
              </w:rPr>
            </w:pPr>
            <w:r>
              <w:rPr>
                <w:rFonts w:hint="default"/>
                <w:lang w:val="en-US" w:eastAsia="zh-CN"/>
              </w:rPr>
              <w:t>□材料性能检测报告</w:t>
            </w:r>
          </w:p>
        </w:tc>
        <w:tc>
          <w:tcPr>
            <w:tcW w:w="1612" w:type="dxa"/>
            <w:vAlign w:val="center"/>
          </w:tcPr>
          <w:p>
            <w:pPr>
              <w:rPr>
                <w:rFonts w:hint="default"/>
                <w:lang w:val="en-US" w:eastAsia="zh-CN"/>
              </w:rPr>
            </w:pPr>
            <w:r>
              <w:rPr>
                <w:rFonts w:hint="default"/>
                <w:lang w:val="en-US" w:eastAsia="zh-CN"/>
              </w:rPr>
              <w:t xml:space="preserve">得分：    </w:t>
            </w:r>
          </w:p>
          <w:p>
            <w:pPr>
              <w:rPr>
                <w:rFonts w:hint="default"/>
                <w:lang w:val="en-US" w:eastAsia="zh-CN"/>
              </w:rPr>
            </w:pPr>
            <w:r>
              <w:rPr>
                <w:rFonts w:hint="default"/>
                <w:lang w:val="en-US" w:eastAsia="zh-CN"/>
              </w:rPr>
              <w:t>□通过</w:t>
            </w:r>
          </w:p>
          <w:p>
            <w:pPr>
              <w:rPr>
                <w:rFonts w:hint="default"/>
                <w:lang w:val="en-US" w:eastAsia="zh-CN"/>
              </w:rPr>
            </w:pPr>
            <w:r>
              <w:rPr>
                <w:rFonts w:hint="default"/>
                <w:lang w:val="en-US" w:eastAsia="zh-CN"/>
              </w:rPr>
              <w:t>□不通过</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37" w:type="dxa"/>
            <w:vAlign w:val="center"/>
          </w:tcPr>
          <w:p>
            <w:pPr>
              <w:rPr>
                <w:rFonts w:hint="default"/>
                <w:lang w:val="en-US" w:eastAsia="zh-CN"/>
              </w:rPr>
            </w:pPr>
          </w:p>
        </w:tc>
        <w:tc>
          <w:tcPr>
            <w:tcW w:w="1163" w:type="dxa"/>
            <w:vAlign w:val="center"/>
          </w:tcPr>
          <w:p>
            <w:pPr>
              <w:rPr>
                <w:rFonts w:hint="default"/>
                <w:lang w:val="en-US" w:eastAsia="zh-CN"/>
              </w:rPr>
            </w:pPr>
            <w:r>
              <w:rPr>
                <w:rFonts w:hint="default"/>
                <w:lang w:val="en-US" w:eastAsia="zh-CN"/>
              </w:rPr>
              <w:t>9.2.4</w:t>
            </w:r>
          </w:p>
        </w:tc>
        <w:tc>
          <w:tcPr>
            <w:tcW w:w="4350" w:type="dxa"/>
            <w:vAlign w:val="center"/>
          </w:tcPr>
          <w:p>
            <w:pPr>
              <w:rPr>
                <w:rFonts w:hint="default"/>
                <w:lang w:val="en-US" w:eastAsia="zh-CN"/>
              </w:rPr>
            </w:pPr>
            <w:r>
              <w:rPr>
                <w:rFonts w:hint="default"/>
                <w:lang w:val="en-US" w:eastAsia="zh-CN"/>
              </w:rPr>
              <w:t>场地绿容率不低于3.0，评价总分值为5分，并按下列规则评分：</w:t>
            </w:r>
          </w:p>
          <w:p>
            <w:pPr>
              <w:rPr>
                <w:rFonts w:hint="default"/>
                <w:lang w:val="en-US" w:eastAsia="zh-CN"/>
              </w:rPr>
            </w:pPr>
            <w:r>
              <w:rPr>
                <w:rFonts w:hint="default"/>
                <w:lang w:val="en-US" w:eastAsia="zh-CN"/>
              </w:rPr>
              <w:t>场地绿容率计算值不低于3.0，得3分。</w:t>
            </w:r>
          </w:p>
          <w:p>
            <w:pPr>
              <w:rPr>
                <w:rFonts w:hint="default"/>
                <w:lang w:val="en-US" w:eastAsia="zh-CN"/>
              </w:rPr>
            </w:pPr>
            <w:r>
              <w:rPr>
                <w:rFonts w:hint="default"/>
                <w:lang w:val="en-US" w:eastAsia="zh-CN"/>
              </w:rPr>
              <w:t>场地绿容率实测值不低于3.0，得5分。</w:t>
            </w:r>
          </w:p>
        </w:tc>
        <w:tc>
          <w:tcPr>
            <w:tcW w:w="3725" w:type="dxa"/>
            <w:vAlign w:val="center"/>
          </w:tcPr>
          <w:p>
            <w:pPr>
              <w:rPr>
                <w:rFonts w:hint="default"/>
                <w:lang w:val="en-US" w:eastAsia="zh-CN"/>
              </w:rPr>
            </w:pPr>
            <w:r>
              <w:rPr>
                <w:rFonts w:hint="default"/>
                <w:lang w:val="en-US" w:eastAsia="zh-CN"/>
              </w:rPr>
              <w:t>□相关竣工图</w:t>
            </w:r>
          </w:p>
          <w:p>
            <w:pPr>
              <w:rPr>
                <w:rFonts w:hint="default"/>
                <w:lang w:val="en-US" w:eastAsia="zh-CN"/>
              </w:rPr>
            </w:pPr>
            <w:r>
              <w:rPr>
                <w:rFonts w:hint="default"/>
                <w:lang w:val="en-US" w:eastAsia="zh-CN"/>
              </w:rPr>
              <w:t>□绿容率计算书/植被叶面积测量报告</w:t>
            </w:r>
          </w:p>
          <w:p>
            <w:pPr>
              <w:rPr>
                <w:rFonts w:hint="default"/>
                <w:lang w:val="en-US" w:eastAsia="zh-CN"/>
              </w:rPr>
            </w:pPr>
            <w:r>
              <w:rPr>
                <w:rFonts w:hint="default"/>
                <w:lang w:val="en-US" w:eastAsia="zh-CN"/>
              </w:rPr>
              <w:t>□相关证明材料</w:t>
            </w:r>
          </w:p>
        </w:tc>
        <w:tc>
          <w:tcPr>
            <w:tcW w:w="1612" w:type="dxa"/>
            <w:vAlign w:val="center"/>
          </w:tcPr>
          <w:p>
            <w:pPr>
              <w:rPr>
                <w:rFonts w:hint="default"/>
                <w:lang w:val="en-US" w:eastAsia="zh-CN"/>
              </w:rPr>
            </w:pPr>
            <w:r>
              <w:rPr>
                <w:rFonts w:hint="default"/>
                <w:lang w:val="en-US" w:eastAsia="zh-CN"/>
              </w:rPr>
              <w:t>得分：</w:t>
            </w:r>
          </w:p>
        </w:tc>
        <w:tc>
          <w:tcPr>
            <w:tcW w:w="1338" w:type="dxa"/>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3025" w:type="dxa"/>
            <w:gridSpan w:val="6"/>
            <w:vAlign w:val="center"/>
          </w:tcPr>
          <w:p>
            <w:pPr>
              <w:rPr>
                <w:rFonts w:hint="default"/>
                <w:lang w:val="en-US" w:eastAsia="zh-CN"/>
              </w:rPr>
            </w:pPr>
            <w:r>
              <w:rPr>
                <w:rFonts w:hint="default"/>
                <w:lang w:val="en-US" w:eastAsia="zh-CN"/>
              </w:rPr>
              <w:t>评审结论：</w:t>
            </w:r>
          </w:p>
          <w:p>
            <w:pPr>
              <w:rPr>
                <w:rFonts w:hint="default"/>
                <w:lang w:val="en-US" w:eastAsia="zh-CN"/>
              </w:rPr>
            </w:pPr>
          </w:p>
          <w:p>
            <w:pPr>
              <w:rPr>
                <w:rFonts w:hint="default"/>
                <w:lang w:val="en-US" w:eastAsia="zh-CN"/>
              </w:rPr>
            </w:pPr>
            <w:r>
              <w:rPr>
                <w:rFonts w:hint="default"/>
                <w:lang w:val="en-US" w:eastAsia="zh-CN"/>
              </w:rPr>
              <w:t>评审专家（签字）：</w:t>
            </w:r>
          </w:p>
          <w:p>
            <w:pPr>
              <w:rPr>
                <w:rFonts w:hint="default"/>
                <w:lang w:val="en-US" w:eastAsia="zh-CN"/>
              </w:rPr>
            </w:pPr>
            <w:r>
              <w:rPr>
                <w:rFonts w:hint="default"/>
                <w:lang w:val="en-US" w:eastAsia="zh-CN"/>
              </w:rPr>
              <w:t>日期：</w:t>
            </w:r>
          </w:p>
          <w:p>
            <w:pPr>
              <w:rPr>
                <w:rFonts w:hint="default"/>
                <w:lang w:val="en-US" w:eastAsia="zh-CN"/>
              </w:rPr>
            </w:pPr>
          </w:p>
        </w:tc>
      </w:tr>
    </w:tbl>
    <w:p>
      <w:pPr>
        <w:spacing w:line="560" w:lineRule="exact"/>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eastAsia="黑体"/>
          <w:color w:val="000000"/>
          <w:sz w:val="36"/>
          <w:szCs w:val="36"/>
        </w:rPr>
      </w:pPr>
    </w:p>
    <w:p>
      <w:pPr>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绿色建筑工程验收承诺书</w:t>
      </w:r>
    </w:p>
    <w:p>
      <w:pPr>
        <w:jc w:val="center"/>
        <w:rPr>
          <w:rFonts w:eastAsia="黑体"/>
          <w:color w:val="000000"/>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lang w:eastAsia="zh-CN"/>
        </w:rPr>
        <w:t>（区）住房和城乡建设局</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根据《关于开展惠州市绿色建筑验收工作的通知》，</w:t>
      </w:r>
      <w:r>
        <w:rPr>
          <w:rFonts w:hint="eastAsia" w:ascii="仿宋_GB2312" w:hAnsi="仿宋_GB2312" w:eastAsia="仿宋_GB2312" w:cs="仿宋_GB2312"/>
          <w:sz w:val="32"/>
          <w:szCs w:val="32"/>
          <w:u w:val="single"/>
          <w:lang w:eastAsia="zh-CN"/>
        </w:rPr>
        <w:t>〔项目业主单位名称〕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日申报</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u w:val="none"/>
          <w:lang w:val="en-US" w:eastAsia="zh-CN"/>
        </w:rPr>
        <w:t>项目（二星级及以上绿色建筑项目），申请按照承诺制方式办理</w:t>
      </w:r>
      <w:r>
        <w:rPr>
          <w:rFonts w:hint="eastAsia" w:ascii="仿宋_GB2312" w:hAnsi="仿宋_GB2312" w:eastAsia="仿宋_GB2312" w:cs="仿宋_GB2312"/>
          <w:sz w:val="32"/>
          <w:szCs w:val="32"/>
          <w:u w:val="single"/>
          <w:lang w:val="en-US" w:eastAsia="zh-CN"/>
        </w:rPr>
        <w:t>绿色建筑验收事项，</w:t>
      </w:r>
      <w:r>
        <w:rPr>
          <w:rFonts w:hint="eastAsia" w:ascii="仿宋_GB2312" w:hAnsi="仿宋_GB2312" w:eastAsia="仿宋_GB2312" w:cs="仿宋_GB2312"/>
          <w:sz w:val="32"/>
          <w:szCs w:val="32"/>
          <w:u w:val="none"/>
          <w:lang w:val="en-US" w:eastAsia="zh-CN"/>
        </w:rPr>
        <w:t>现就有关事项作出如下承诺：</w:t>
      </w:r>
    </w:p>
    <w:p>
      <w:pPr>
        <w:ind w:firstLine="640" w:firstLineChars="200"/>
        <w:jc w:val="left"/>
        <w:rPr>
          <w:rFonts w:hint="eastAsia"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u w:val="none"/>
          <w:lang w:val="en-US" w:eastAsia="zh-CN"/>
        </w:rPr>
        <w:t>（一）承诺单位明确未履行承诺将承担</w:t>
      </w:r>
      <w:r>
        <w:rPr>
          <w:rFonts w:hint="eastAsia" w:ascii="仿宋_GB2312" w:hAnsi="仿宋_GB2312" w:eastAsia="仿宋_GB2312" w:cs="仿宋_GB2312"/>
          <w:sz w:val="32"/>
          <w:szCs w:val="32"/>
          <w:u w:val="none"/>
          <w:lang w:val="en-US" w:eastAsia="zh-CN"/>
        </w:rPr>
        <w:t>的</w:t>
      </w:r>
      <w:r>
        <w:rPr>
          <w:rFonts w:hint="default" w:ascii="仿宋_GB2312" w:hAnsi="仿宋_GB2312" w:eastAsia="仿宋_GB2312" w:cs="仿宋_GB2312"/>
          <w:sz w:val="32"/>
          <w:szCs w:val="32"/>
          <w:u w:val="none"/>
          <w:lang w:val="en-US" w:eastAsia="zh-CN"/>
        </w:rPr>
        <w:t>责任</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住建部门将把失信行为抄送同级信用主管部门载入信用档案，并组织专家对项目落实绿色建筑标准情况进行复查，若项目不符合施工图设计文件相应等级绿色建筑标准的，应依照《广东省绿色建筑条例》第四十条规定，</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将相关违法线索移交当地城管执法部门，对建设单位处新建民用建筑项目合同价款百分之二以上百分之四以下的罚款）。</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eastAsia="仿宋_GB2312"/>
          <w:kern w:val="0"/>
          <w:sz w:val="32"/>
          <w:szCs w:val="32"/>
          <w:highlight w:val="none"/>
          <w:lang w:val="en-US" w:eastAsia="zh-CN"/>
        </w:rPr>
      </w:pPr>
      <w:r>
        <w:rPr>
          <w:rFonts w:hint="eastAsia" w:ascii="仿宋_GB2312" w:hAnsi="仿宋_GB2312" w:eastAsia="仿宋_GB2312" w:cs="仿宋_GB2312"/>
          <w:sz w:val="32"/>
          <w:szCs w:val="32"/>
          <w:u w:val="none"/>
          <w:lang w:val="en-US" w:eastAsia="zh-CN"/>
        </w:rPr>
        <w:t>（二）</w:t>
      </w:r>
      <w:r>
        <w:rPr>
          <w:rFonts w:hint="eastAsia" w:eastAsia="仿宋_GB2312"/>
          <w:kern w:val="0"/>
          <w:sz w:val="32"/>
          <w:szCs w:val="32"/>
          <w:highlight w:val="none"/>
          <w:lang w:val="en-US" w:eastAsia="zh-CN"/>
        </w:rPr>
        <w:t>承诺单位对所提交资料和填报内容的真实性、合法性、准确性、完整性负责。</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三）承诺单位同意按按基本级和一星级绿色建筑项目要求对该项目先行开展验收工作，并承诺在项目通过竣工验收后3年内取得相应等级及以上的绿色建筑运行标识（《绿色建筑评价标准》（GB/T50378-2019）中称“绿色建筑标识”）。</w:t>
      </w:r>
    </w:p>
    <w:p>
      <w:pPr>
        <w:ind w:firstLine="640" w:firstLineChars="200"/>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rPr>
      </w:pPr>
    </w:p>
    <w:p>
      <w:pPr>
        <w:wordWrap w:val="0"/>
        <w:ind w:right="56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建设单位（代建单位）盖章：</w:t>
      </w:r>
      <w:r>
        <w:rPr>
          <w:rFonts w:hint="eastAsia" w:ascii="仿宋_GB2312" w:hAnsi="仿宋_GB2312" w:eastAsia="仿宋_GB2312" w:cs="仿宋_GB2312"/>
          <w:kern w:val="0"/>
          <w:sz w:val="32"/>
          <w:szCs w:val="32"/>
          <w:lang w:eastAsia="zh-CN"/>
        </w:rPr>
        <w:t>　　　　</w:t>
      </w:r>
    </w:p>
    <w:p>
      <w:pPr>
        <w:wordWrap w:val="0"/>
        <w:ind w:right="560" w:firstLine="4480" w:firstLineChars="1400"/>
        <w:jc w:val="right"/>
        <w:rPr>
          <w:rFonts w:hint="eastAsia" w:ascii="仿宋_GB2312" w:hAnsi="仿宋_GB2312" w:eastAsia="仿宋_GB2312" w:cs="仿宋_GB2312"/>
          <w:kern w:val="0"/>
          <w:sz w:val="32"/>
          <w:szCs w:val="32"/>
        </w:rPr>
      </w:pPr>
    </w:p>
    <w:p>
      <w:pPr>
        <w:wordWrap w:val="0"/>
        <w:ind w:right="560" w:firstLine="4480" w:firstLineChars="1400"/>
        <w:jc w:val="right"/>
        <w:rPr>
          <w:rFonts w:hint="eastAsia" w:ascii="仿宋_GB2312" w:hAnsi="仿宋_GB2312" w:eastAsia="仿宋_GB2312" w:cs="仿宋_GB2312"/>
          <w:kern w:val="0"/>
          <w:sz w:val="32"/>
          <w:szCs w:val="32"/>
        </w:rPr>
      </w:pPr>
    </w:p>
    <w:p>
      <w:pPr>
        <w:wordWrap w:val="0"/>
        <w:ind w:right="56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项目负责人（签字）：</w:t>
      </w:r>
      <w:r>
        <w:rPr>
          <w:rFonts w:hint="eastAsia" w:ascii="仿宋_GB2312" w:hAnsi="仿宋_GB2312" w:eastAsia="仿宋_GB2312" w:cs="仿宋_GB2312"/>
          <w:kern w:val="0"/>
          <w:sz w:val="32"/>
          <w:szCs w:val="32"/>
          <w:lang w:eastAsia="zh-CN"/>
        </w:rPr>
        <w:t>　　　　</w:t>
      </w:r>
    </w:p>
    <w:p>
      <w:pPr>
        <w:wordWrap w:val="0"/>
        <w:ind w:right="56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eastAsia="zh-CN"/>
        </w:rPr>
        <w:t>　　　　</w:t>
      </w:r>
    </w:p>
    <w:p>
      <w:pPr>
        <w:wordWrap w:val="0"/>
        <w:ind w:right="56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日期：</w:t>
      </w:r>
      <w:r>
        <w:rPr>
          <w:rFonts w:hint="eastAsia" w:ascii="仿宋_GB2312" w:hAnsi="仿宋_GB2312" w:eastAsia="仿宋_GB2312" w:cs="仿宋_GB2312"/>
          <w:kern w:val="0"/>
          <w:sz w:val="32"/>
          <w:szCs w:val="32"/>
          <w:lang w:eastAsia="zh-CN"/>
        </w:rPr>
        <w:t>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jc w:val="center"/>
        <w:rPr>
          <w:rFonts w:hint="eastAsia" w:eastAsiaTheme="minorEastAsia"/>
          <w:b/>
          <w:bCs/>
          <w:sz w:val="40"/>
          <w:szCs w:val="48"/>
          <w:lang w:val="en-US" w:eastAsia="zh-CN"/>
        </w:rPr>
      </w:pPr>
      <w:r>
        <w:rPr>
          <w:rFonts w:hint="eastAsia" w:eastAsiaTheme="minorEastAsia"/>
          <w:b/>
          <w:bCs/>
          <w:sz w:val="40"/>
          <w:szCs w:val="48"/>
          <w:lang w:val="en-US" w:eastAsia="zh-CN"/>
        </w:rPr>
        <w:t>惠州市_____县（区）</w:t>
      </w:r>
      <w:r>
        <w:rPr>
          <w:rFonts w:hint="eastAsia"/>
          <w:b/>
          <w:bCs/>
          <w:sz w:val="40"/>
          <w:szCs w:val="48"/>
          <w:lang w:val="en-US" w:eastAsia="zh-CN"/>
        </w:rPr>
        <w:t>绿色建筑</w:t>
      </w:r>
      <w:r>
        <w:rPr>
          <w:rFonts w:hint="eastAsia" w:eastAsiaTheme="minorEastAsia"/>
          <w:b/>
          <w:bCs/>
          <w:sz w:val="40"/>
          <w:szCs w:val="48"/>
          <w:lang w:val="en-US" w:eastAsia="zh-CN"/>
        </w:rPr>
        <w:t>专项验收</w:t>
      </w:r>
      <w:r>
        <w:rPr>
          <w:rFonts w:hint="eastAsia"/>
          <w:b/>
          <w:bCs/>
          <w:sz w:val="40"/>
          <w:szCs w:val="48"/>
          <w:lang w:val="en-US" w:eastAsia="zh-CN"/>
        </w:rPr>
        <w:t>报告</w:t>
      </w:r>
    </w:p>
    <w:tbl>
      <w:tblPr>
        <w:tblStyle w:val="2"/>
        <w:tblW w:w="13080" w:type="dxa"/>
        <w:tblInd w:w="0" w:type="dxa"/>
        <w:shd w:val="clear" w:color="auto" w:fill="auto"/>
        <w:tblLayout w:type="fixed"/>
        <w:tblCellMar>
          <w:top w:w="0" w:type="dxa"/>
          <w:left w:w="0" w:type="dxa"/>
          <w:bottom w:w="0" w:type="dxa"/>
          <w:right w:w="0" w:type="dxa"/>
        </w:tblCellMar>
      </w:tblPr>
      <w:tblGrid>
        <w:gridCol w:w="690"/>
        <w:gridCol w:w="462"/>
        <w:gridCol w:w="33"/>
        <w:gridCol w:w="504"/>
        <w:gridCol w:w="488"/>
        <w:gridCol w:w="403"/>
        <w:gridCol w:w="1035"/>
        <w:gridCol w:w="690"/>
        <w:gridCol w:w="123"/>
        <w:gridCol w:w="2112"/>
        <w:gridCol w:w="574"/>
        <w:gridCol w:w="563"/>
        <w:gridCol w:w="558"/>
        <w:gridCol w:w="555"/>
        <w:gridCol w:w="465"/>
        <w:gridCol w:w="123"/>
        <w:gridCol w:w="222"/>
        <w:gridCol w:w="735"/>
        <w:gridCol w:w="435"/>
        <w:gridCol w:w="885"/>
        <w:gridCol w:w="450"/>
        <w:gridCol w:w="975"/>
      </w:tblGrid>
      <w:tr>
        <w:tblPrEx>
          <w:shd w:val="clear" w:color="auto" w:fill="auto"/>
          <w:tblCellMar>
            <w:top w:w="0" w:type="dxa"/>
            <w:left w:w="0" w:type="dxa"/>
            <w:bottom w:w="0" w:type="dxa"/>
            <w:right w:w="0" w:type="dxa"/>
          </w:tblCellMar>
        </w:tblPrEx>
        <w:trPr>
          <w:trHeight w:val="702" w:hRule="atLeast"/>
        </w:trPr>
        <w:tc>
          <w:tcPr>
            <w:tcW w:w="13080" w:type="dxa"/>
            <w:gridSpan w:val="22"/>
            <w:tcBorders>
              <w:top w:val="single" w:color="000000" w:sz="12"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项 目 总 体 情 况</w:t>
            </w: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项目名称</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工程项目开工时间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项目地址</w:t>
            </w:r>
          </w:p>
        </w:tc>
        <w:tc>
          <w:tcPr>
            <w:tcW w:w="7638" w:type="dxa"/>
            <w:gridSpan w:val="1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4"/>
                <w:szCs w:val="14"/>
                <w:u w:val="none"/>
              </w:rPr>
            </w:pPr>
            <w:r>
              <w:rPr>
                <w:rFonts w:hint="default" w:ascii="仿宋_GB2312" w:hAnsi="宋体" w:eastAsia="仿宋_GB2312" w:cs="仿宋_GB2312"/>
                <w:b/>
                <w:i w:val="0"/>
                <w:color w:val="000000"/>
                <w:kern w:val="0"/>
                <w:sz w:val="18"/>
                <w:szCs w:val="18"/>
                <w:u w:val="none"/>
                <w:lang w:val="en-US" w:eastAsia="zh-CN" w:bidi="ar"/>
              </w:rPr>
              <w:t>惠州市</w:t>
            </w:r>
            <w:r>
              <w:rPr>
                <w:rStyle w:val="4"/>
                <w:rFonts w:hAnsi="宋体"/>
                <w:sz w:val="18"/>
                <w:szCs w:val="18"/>
                <w:lang w:val="en-US" w:eastAsia="zh-CN" w:bidi="ar"/>
              </w:rPr>
              <w:t xml:space="preserve">     </w:t>
            </w:r>
            <w:r>
              <w:rPr>
                <w:rStyle w:val="5"/>
                <w:rFonts w:hAnsi="宋体"/>
                <w:sz w:val="18"/>
                <w:szCs w:val="18"/>
                <w:lang w:val="en-US" w:eastAsia="zh-CN" w:bidi="ar"/>
              </w:rPr>
              <w:t>县（区）</w:t>
            </w:r>
            <w:r>
              <w:rPr>
                <w:rStyle w:val="4"/>
                <w:rFonts w:hAnsi="宋体"/>
                <w:sz w:val="18"/>
                <w:szCs w:val="18"/>
                <w:lang w:val="en-US" w:eastAsia="zh-CN" w:bidi="ar"/>
              </w:rPr>
              <w:t xml:space="preserve">      </w:t>
            </w:r>
            <w:r>
              <w:rPr>
                <w:rStyle w:val="5"/>
                <w:rFonts w:hAnsi="宋体"/>
                <w:sz w:val="18"/>
                <w:szCs w:val="18"/>
                <w:lang w:val="en-US" w:eastAsia="zh-CN" w:bidi="ar"/>
              </w:rPr>
              <w:t>街道（镇）</w:t>
            </w:r>
            <w:r>
              <w:rPr>
                <w:rStyle w:val="4"/>
                <w:rFonts w:hAnsi="宋体"/>
                <w:sz w:val="18"/>
                <w:szCs w:val="18"/>
                <w:lang w:val="en-US" w:eastAsia="zh-CN" w:bidi="ar"/>
              </w:rPr>
              <w:t xml:space="preserve">      </w:t>
            </w:r>
            <w:r>
              <w:rPr>
                <w:rStyle w:val="5"/>
                <w:rFonts w:hAnsi="宋体"/>
                <w:sz w:val="18"/>
                <w:szCs w:val="18"/>
                <w:lang w:val="en-US" w:eastAsia="zh-CN" w:bidi="ar"/>
              </w:rPr>
              <w:t>居（村）</w:t>
            </w:r>
            <w:r>
              <w:rPr>
                <w:rStyle w:val="4"/>
                <w:rFonts w:hAnsi="宋体"/>
                <w:sz w:val="18"/>
                <w:szCs w:val="18"/>
                <w:lang w:val="en-US" w:eastAsia="zh-CN" w:bidi="ar"/>
              </w:rPr>
              <w:t xml:space="preserve">                                   .</w:t>
            </w: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工程项目主体      验收时间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7638" w:type="dxa"/>
            <w:gridSpan w:val="1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4"/>
                <w:szCs w:val="14"/>
                <w:u w:val="none"/>
              </w:rPr>
            </w:pPr>
          </w:p>
        </w:tc>
        <w:tc>
          <w:tcPr>
            <w:tcW w:w="198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default" w:ascii="仿宋_GB2312" w:hAnsi="宋体" w:eastAsia="仿宋_GB2312" w:cs="仿宋_GB2312"/>
                <w:b/>
                <w:i w:val="0"/>
                <w:color w:val="000000"/>
                <w:kern w:val="0"/>
                <w:sz w:val="20"/>
                <w:szCs w:val="20"/>
                <w:u w:val="none"/>
                <w:lang w:val="en-US" w:eastAsia="zh-CN" w:bidi="ar"/>
              </w:rPr>
              <w:t>工程项目节</w:t>
            </w:r>
            <w:r>
              <w:rPr>
                <w:rFonts w:hint="eastAsia" w:ascii="仿宋_GB2312" w:hAnsi="宋体" w:eastAsia="仿宋_GB2312" w:cs="仿宋_GB2312"/>
                <w:b/>
                <w:i w:val="0"/>
                <w:color w:val="000000"/>
                <w:kern w:val="0"/>
                <w:sz w:val="20"/>
                <w:szCs w:val="20"/>
                <w:u w:val="none"/>
                <w:lang w:val="en-US" w:eastAsia="zh-CN" w:bidi="ar"/>
              </w:rPr>
              <w:t>绿色建筑</w:t>
            </w:r>
            <w:r>
              <w:rPr>
                <w:rFonts w:hint="default" w:ascii="仿宋_GB2312" w:hAnsi="宋体" w:eastAsia="仿宋_GB2312" w:cs="仿宋_GB2312"/>
                <w:b/>
                <w:i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 xml:space="preserve"> 验收时间</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20___年___月___日</w:t>
            </w: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建设单位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施工图审查机构</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施工单位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监理单位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勘察单位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6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咨询单位</w:t>
            </w:r>
          </w:p>
        </w:tc>
        <w:tc>
          <w:tcPr>
            <w:tcW w:w="7638" w:type="dxa"/>
            <w:gridSpan w:val="1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0"/>
                <w:szCs w:val="20"/>
                <w:u w:val="none"/>
              </w:rPr>
            </w:pPr>
          </w:p>
        </w:tc>
        <w:tc>
          <w:tcPr>
            <w:tcW w:w="81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联系人</w:t>
            </w:r>
          </w:p>
        </w:tc>
        <w:tc>
          <w:tcPr>
            <w:tcW w:w="117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电话</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3205"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绿色建筑建设目标：</w:t>
            </w:r>
            <w:r>
              <w:rPr>
                <w:rFonts w:hint="eastAsia" w:ascii="仿宋" w:hAnsi="仿宋" w:eastAsia="仿宋" w:cs="仿宋"/>
                <w:sz w:val="24"/>
                <w:lang w:val="en-US" w:eastAsia="zh-CN"/>
              </w:rPr>
              <w:t xml:space="preserve">国标   </w:t>
            </w:r>
            <w:r>
              <w:rPr>
                <w:rFonts w:hint="eastAsia" w:ascii="仿宋" w:hAnsi="仿宋" w:eastAsia="仿宋" w:cs="仿宋"/>
                <w:sz w:val="24"/>
              </w:rPr>
              <w:t>□基本级  □一星  □二星  □三星</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省标   </w:t>
            </w:r>
            <w:r>
              <w:rPr>
                <w:rFonts w:hint="eastAsia" w:ascii="仿宋" w:hAnsi="仿宋" w:eastAsia="仿宋" w:cs="仿宋"/>
                <w:sz w:val="24"/>
              </w:rPr>
              <w:t>□基本级  □一星  □二星  □三星</w:t>
            </w:r>
          </w:p>
          <w:p>
            <w:pPr>
              <w:spacing w:line="360" w:lineRule="auto"/>
              <w:rPr>
                <w:rFonts w:hint="eastAsia" w:ascii="仿宋" w:hAnsi="仿宋" w:eastAsia="仿宋" w:cs="仿宋"/>
                <w:sz w:val="24"/>
              </w:rPr>
            </w:pPr>
            <w:r>
              <w:rPr>
                <w:rFonts w:hint="eastAsia" w:ascii="仿宋" w:hAnsi="仿宋" w:eastAsia="仿宋" w:cs="仿宋"/>
                <w:sz w:val="24"/>
              </w:rPr>
              <w:t>建筑</w:t>
            </w:r>
            <w:r>
              <w:rPr>
                <w:rFonts w:hint="eastAsia" w:ascii="仿宋" w:hAnsi="仿宋" w:eastAsia="仿宋" w:cs="仿宋"/>
                <w:sz w:val="24"/>
                <w:lang w:val="en-US" w:eastAsia="zh-CN"/>
              </w:rPr>
              <w:t>类型</w:t>
            </w:r>
            <w:r>
              <w:rPr>
                <w:rFonts w:hint="eastAsia" w:ascii="仿宋" w:hAnsi="仿宋" w:eastAsia="仿宋" w:cs="仿宋"/>
                <w:sz w:val="24"/>
              </w:rPr>
              <w:t>：□居住建筑  □公共建筑  □综合功能建筑</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color w:val="000000"/>
                <w:sz w:val="24"/>
                <w:szCs w:val="24"/>
                <w:shd w:val="clear" w:color="auto" w:fill="FFFFFF"/>
              </w:rPr>
              <w:t>结构类型</w:t>
            </w:r>
            <w:r>
              <w:rPr>
                <w:rFonts w:hint="eastAsia" w:ascii="仿宋" w:hAnsi="仿宋" w:eastAsia="仿宋" w:cs="仿宋"/>
                <w:color w:val="000000"/>
                <w:sz w:val="24"/>
                <w:szCs w:val="24"/>
                <w:shd w:val="clear" w:color="auto" w:fill="FFFFFF"/>
                <w:lang w:eastAsia="zh-CN"/>
              </w:rPr>
              <w:t xml:space="preserve">：□框架    □剪力墙   □框架-剪力墙 </w:t>
            </w:r>
            <w:r>
              <w:rPr>
                <w:rFonts w:hint="eastAsia" w:ascii="仿宋" w:hAnsi="仿宋" w:eastAsia="仿宋" w:cs="仿宋"/>
                <w:color w:val="000000"/>
                <w:sz w:val="24"/>
                <w:szCs w:val="24"/>
                <w:shd w:val="clear" w:color="auto" w:fill="FFFFFF"/>
                <w:lang w:val="en-US" w:eastAsia="zh-CN"/>
              </w:rPr>
              <w:t xml:space="preserve">  □钢结构   □砖混   □其他：</w:t>
            </w:r>
            <w:r>
              <w:rPr>
                <w:rFonts w:hint="eastAsia" w:ascii="仿宋" w:hAnsi="仿宋" w:eastAsia="仿宋" w:cs="仿宋"/>
                <w:color w:val="000000"/>
                <w:sz w:val="24"/>
                <w:szCs w:val="24"/>
                <w:u w:val="single"/>
                <w:shd w:val="clear" w:color="auto" w:fill="FFFFFF"/>
                <w:lang w:val="en-US" w:eastAsia="zh-CN"/>
              </w:rPr>
              <w:t xml:space="preserve">         </w:t>
            </w:r>
          </w:p>
          <w:p>
            <w:pPr>
              <w:spacing w:line="360" w:lineRule="auto"/>
              <w:rPr>
                <w:rFonts w:ascii="仿宋" w:hAnsi="仿宋" w:eastAsia="仿宋" w:cs="仿宋"/>
                <w:sz w:val="24"/>
              </w:rPr>
            </w:pPr>
            <w:r>
              <w:rPr>
                <w:rFonts w:hint="eastAsia" w:ascii="仿宋" w:hAnsi="仿宋" w:eastAsia="仿宋" w:cs="仿宋"/>
                <w:sz w:val="24"/>
              </w:rPr>
              <w:t xml:space="preserve">交楼标准：□毛坯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eastAsia="zh-CN"/>
              </w:rPr>
              <w:t>全</w:t>
            </w:r>
            <w:r>
              <w:rPr>
                <w:rFonts w:hint="eastAsia" w:ascii="仿宋" w:hAnsi="仿宋" w:eastAsia="仿宋" w:cs="仿宋"/>
                <w:sz w:val="24"/>
              </w:rPr>
              <w:t>装修</w:t>
            </w:r>
          </w:p>
          <w:p>
            <w:pPr>
              <w:spacing w:line="360" w:lineRule="auto"/>
              <w:rPr>
                <w:rFonts w:ascii="仿宋" w:hAnsi="仿宋" w:eastAsia="仿宋" w:cs="仿宋"/>
                <w:sz w:val="24"/>
              </w:rPr>
            </w:pPr>
            <w:r>
              <w:rPr>
                <w:rFonts w:hint="eastAsia" w:ascii="仿宋" w:hAnsi="仿宋" w:eastAsia="仿宋" w:cs="仿宋"/>
                <w:sz w:val="24"/>
              </w:rPr>
              <w:t>用地面积：</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hint="default" w:ascii="仿宋" w:hAnsi="仿宋" w:eastAsia="仿宋" w:cs="仿宋"/>
                <w:sz w:val="24"/>
                <w:lang w:val="en-US" w:eastAsia="zh-CN"/>
              </w:rPr>
            </w:pPr>
            <w:r>
              <w:rPr>
                <w:rFonts w:hint="eastAsia" w:ascii="仿宋" w:hAnsi="仿宋" w:eastAsia="仿宋" w:cs="仿宋"/>
                <w:sz w:val="24"/>
              </w:rPr>
              <w:t>建筑面积：地上</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rPr>
              <w:t xml:space="preserve"> 地下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建筑高度：</w:t>
            </w:r>
            <w:r>
              <w:rPr>
                <w:rFonts w:hint="eastAsia" w:ascii="仿宋" w:hAnsi="仿宋" w:eastAsia="仿宋" w:cs="仿宋"/>
                <w:sz w:val="24"/>
                <w:u w:val="single"/>
              </w:rPr>
              <w:t xml:space="preserve">     </w:t>
            </w:r>
            <w:r>
              <w:rPr>
                <w:rFonts w:hint="eastAsia" w:ascii="仿宋" w:hAnsi="仿宋" w:eastAsia="仿宋" w:cs="仿宋"/>
                <w:sz w:val="24"/>
              </w:rPr>
              <w:t xml:space="preserve">m </w:t>
            </w:r>
            <w:r>
              <w:rPr>
                <w:rFonts w:hint="eastAsia" w:ascii="仿宋" w:hAnsi="仿宋" w:eastAsia="仿宋" w:cs="仿宋"/>
                <w:sz w:val="24"/>
                <w:lang w:eastAsia="zh-CN"/>
              </w:rPr>
              <w:t>；</w:t>
            </w:r>
            <w:r>
              <w:rPr>
                <w:rFonts w:hint="eastAsia" w:ascii="仿宋" w:hAnsi="仿宋" w:eastAsia="仿宋" w:cs="仿宋"/>
                <w:sz w:val="24"/>
              </w:rPr>
              <w:t xml:space="preserve"> 层数</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CellMar>
            <w:top w:w="0" w:type="dxa"/>
            <w:left w:w="0" w:type="dxa"/>
            <w:bottom w:w="0" w:type="dxa"/>
            <w:right w:w="0" w:type="dxa"/>
          </w:tblCellMar>
        </w:tblPrEx>
        <w:trPr>
          <w:trHeight w:val="122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r>
              <w:rPr>
                <w:rFonts w:hint="eastAsia" w:ascii="黑体" w:hAnsi="黑体" w:eastAsia="黑体" w:cs="黑体"/>
                <w:sz w:val="24"/>
                <w:lang w:val="en-US" w:eastAsia="zh-CN"/>
              </w:rPr>
              <w:t>项目总评</w:t>
            </w:r>
          </w:p>
        </w:tc>
        <w:tc>
          <w:tcPr>
            <w:tcW w:w="11928" w:type="dxa"/>
            <w:gridSpan w:val="2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p>
        </w:tc>
      </w:tr>
      <w:tr>
        <w:tblPrEx>
          <w:tblCellMar>
            <w:top w:w="0" w:type="dxa"/>
            <w:left w:w="0" w:type="dxa"/>
            <w:bottom w:w="0" w:type="dxa"/>
            <w:right w:w="0" w:type="dxa"/>
          </w:tblCellMar>
        </w:tblPrEx>
        <w:trPr>
          <w:trHeight w:val="68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 w:hAnsi="仿宋" w:eastAsia="仿宋" w:cs="仿宋"/>
                <w:sz w:val="24"/>
                <w:lang w:val="en-US" w:eastAsia="zh-CN"/>
              </w:rPr>
            </w:pPr>
            <w:r>
              <w:rPr>
                <w:rFonts w:hint="eastAsia" w:ascii="黑体" w:hAnsi="黑体" w:eastAsia="黑体" w:cs="黑体"/>
                <w:b/>
                <w:bCs/>
                <w:sz w:val="28"/>
                <w:szCs w:val="28"/>
              </w:rPr>
              <w:t>地</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础</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结</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构</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4"/>
                <w:szCs w:val="24"/>
              </w:rPr>
            </w:pPr>
          </w:p>
        </w:tc>
      </w:tr>
      <w:tr>
        <w:tblPrEx>
          <w:tblCellMar>
            <w:top w:w="0" w:type="dxa"/>
            <w:left w:w="0" w:type="dxa"/>
            <w:bottom w:w="0" w:type="dxa"/>
            <w:right w:w="0" w:type="dxa"/>
          </w:tblCellMar>
        </w:tblPrEx>
        <w:trPr>
          <w:trHeight w:val="637"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筑</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饰</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修</w:t>
            </w:r>
          </w:p>
        </w:tc>
      </w:tr>
      <w:tr>
        <w:tblPrEx>
          <w:tblCellMar>
            <w:top w:w="0" w:type="dxa"/>
            <w:left w:w="0" w:type="dxa"/>
            <w:bottom w:w="0" w:type="dxa"/>
            <w:right w:w="0" w:type="dxa"/>
          </w:tblCellMar>
        </w:tblPrEx>
        <w:trPr>
          <w:trHeight w:val="729"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6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通</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调</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工</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程</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68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筑</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电</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气</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与</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能</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建</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筑</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65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sz w:val="28"/>
                <w:szCs w:val="28"/>
              </w:rPr>
            </w:pPr>
            <w:r>
              <w:rPr>
                <w:rFonts w:hint="eastAsia" w:ascii="黑体" w:hAnsi="黑体" w:eastAsia="黑体" w:cs="黑体"/>
                <w:b/>
                <w:bCs/>
                <w:sz w:val="28"/>
                <w:szCs w:val="28"/>
              </w:rPr>
              <w:t>室</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内</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外</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环</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境</w:t>
            </w: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5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617"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kern w:val="0"/>
                <w:sz w:val="28"/>
                <w:szCs w:val="28"/>
                <w:u w:val="none"/>
                <w:lang w:val="en-US" w:eastAsia="zh-CN" w:bidi="ar"/>
              </w:rPr>
            </w:pPr>
            <w:r>
              <w:rPr>
                <w:rFonts w:hint="eastAsia" w:ascii="黑体" w:hAnsi="宋体" w:eastAsia="黑体" w:cs="黑体"/>
                <w:b/>
                <w:i w:val="0"/>
                <w:color w:val="000000"/>
                <w:kern w:val="0"/>
                <w:sz w:val="28"/>
                <w:szCs w:val="28"/>
                <w:u w:val="none"/>
                <w:lang w:val="en-US" w:eastAsia="zh-CN" w:bidi="ar"/>
              </w:rPr>
              <w:t>建 筑 给 水 排 水</w:t>
            </w:r>
          </w:p>
        </w:tc>
      </w:tr>
      <w:tr>
        <w:tblPrEx>
          <w:tblCellMar>
            <w:top w:w="0" w:type="dxa"/>
            <w:left w:w="0" w:type="dxa"/>
            <w:bottom w:w="0" w:type="dxa"/>
            <w:right w:w="0" w:type="dxa"/>
          </w:tblCellMar>
        </w:tblPrEx>
        <w:trPr>
          <w:trHeight w:val="70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控制项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02" w:hRule="atLeast"/>
        </w:trPr>
        <w:tc>
          <w:tcPr>
            <w:tcW w:w="1152"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评分项</w:t>
            </w:r>
          </w:p>
        </w:tc>
        <w:tc>
          <w:tcPr>
            <w:tcW w:w="1025" w:type="dxa"/>
            <w:gridSpan w:val="3"/>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设计情况</w:t>
            </w:r>
          </w:p>
        </w:tc>
        <w:tc>
          <w:tcPr>
            <w:tcW w:w="4363" w:type="dxa"/>
            <w:gridSpan w:val="5"/>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c>
          <w:tcPr>
            <w:tcW w:w="1137" w:type="dxa"/>
            <w:gridSpan w:val="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验收情况</w:t>
            </w:r>
          </w:p>
        </w:tc>
        <w:tc>
          <w:tcPr>
            <w:tcW w:w="5403" w:type="dxa"/>
            <w:gridSpan w:val="10"/>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黑体" w:eastAsia="黑体" w:cs="黑体"/>
                <w:kern w:val="2"/>
                <w:sz w:val="24"/>
                <w:szCs w:val="24"/>
                <w:lang w:val="en-US" w:eastAsia="zh-CN" w:bidi="ar-SA"/>
              </w:rPr>
            </w:pPr>
          </w:p>
        </w:tc>
      </w:tr>
      <w:tr>
        <w:tblPrEx>
          <w:tblCellMar>
            <w:top w:w="0" w:type="dxa"/>
            <w:left w:w="0" w:type="dxa"/>
            <w:bottom w:w="0" w:type="dxa"/>
            <w:right w:w="0" w:type="dxa"/>
          </w:tblCellMar>
        </w:tblPrEx>
        <w:trPr>
          <w:trHeight w:val="70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围 护 结 构 建 筑 热 工 设 计 与 验 收 情 况</w:t>
            </w: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(包括非透明幕墙)</w:t>
            </w:r>
            <w:r>
              <w:rPr>
                <w:rStyle w:val="6"/>
                <w:lang w:val="en-US" w:eastAsia="zh-CN" w:bidi="ar"/>
              </w:rPr>
              <w:br w:type="textWrapping"/>
            </w:r>
            <w:r>
              <w:rPr>
                <w:rStyle w:val="6"/>
                <w:lang w:val="en-US" w:eastAsia="zh-CN" w:bidi="ar"/>
              </w:rPr>
              <w:t>外墙</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4851"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材料类型、品种、厚度</w:t>
            </w:r>
          </w:p>
        </w:tc>
        <w:tc>
          <w:tcPr>
            <w:tcW w:w="574" w:type="dxa"/>
            <w:vMerge w:val="restart"/>
            <w:tcBorders>
              <w:top w:val="single" w:color="000000" w:sz="8" w:space="0"/>
              <w:left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4991" w:type="dxa"/>
            <w:gridSpan w:val="10"/>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材料类型、品种、厚度</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使用比例</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填充墙</w:t>
            </w: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填充墙</w:t>
            </w: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single"/>
              </w:rPr>
            </w:pPr>
            <w:r>
              <w:rPr>
                <w:rFonts w:hint="default" w:ascii="仿宋_GB2312" w:hAnsi="宋体" w:eastAsia="仿宋_GB2312" w:cs="仿宋_GB2312"/>
                <w:b/>
                <w:i w:val="0"/>
                <w:color w:val="000000"/>
                <w:kern w:val="0"/>
                <w:sz w:val="21"/>
                <w:szCs w:val="21"/>
                <w:u w:val="single"/>
                <w:lang w:val="en-US" w:eastAsia="zh-CN" w:bidi="ar"/>
              </w:rPr>
              <w:t xml:space="preserve">    </w:t>
            </w:r>
            <w:r>
              <w:rPr>
                <w:rStyle w:val="7"/>
                <w:rFonts w:hAnsi="宋体"/>
                <w:sz w:val="21"/>
                <w:szCs w:val="21"/>
                <w:u w:val="single"/>
                <w:lang w:val="en-US" w:eastAsia="zh-CN" w:bidi="ar"/>
              </w:rPr>
              <w:t>%</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single"/>
              </w:rPr>
            </w:pPr>
            <w:r>
              <w:rPr>
                <w:rFonts w:hint="default" w:ascii="仿宋_GB2312" w:hAnsi="宋体" w:eastAsia="仿宋_GB2312" w:cs="仿宋_GB2312"/>
                <w:b/>
                <w:i w:val="0"/>
                <w:color w:val="000000"/>
                <w:kern w:val="0"/>
                <w:sz w:val="21"/>
                <w:szCs w:val="21"/>
                <w:u w:val="single"/>
                <w:lang w:val="en-US" w:eastAsia="zh-CN" w:bidi="ar"/>
              </w:rPr>
              <w:t xml:space="preserve">    </w:t>
            </w:r>
            <w:r>
              <w:rPr>
                <w:rStyle w:val="7"/>
                <w:rFonts w:hAnsi="宋体"/>
                <w:sz w:val="21"/>
                <w:szCs w:val="21"/>
                <w:u w:val="single"/>
                <w:lang w:val="en-US" w:eastAsia="zh-CN" w:bidi="ar"/>
              </w:rPr>
              <w:t>%</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隔热层</w:t>
            </w: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隔热层</w:t>
            </w: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0</wp:posOffset>
                  </wp:positionV>
                  <wp:extent cx="628650" cy="293370"/>
                  <wp:effectExtent l="0" t="0" r="0" b="11430"/>
                  <wp:wrapNone/>
                  <wp:docPr id="1"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4"/>
                          <a:stretch>
                            <a:fillRect/>
                          </a:stretch>
                        </pic:blipFill>
                        <pic:spPr>
                          <a:xfrm>
                            <a:off x="0" y="0"/>
                            <a:ext cx="628650" cy="293370"/>
                          </a:xfrm>
                          <a:prstGeom prst="rect">
                            <a:avLst/>
                          </a:prstGeom>
                          <a:noFill/>
                          <a:ln>
                            <a:noFill/>
                          </a:ln>
                        </pic:spPr>
                      </pic:pic>
                    </a:graphicData>
                  </a:graphic>
                </wp:anchor>
              </w:drawing>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4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363"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default" w:ascii="仿宋_GB2312" w:hAnsi="宋体" w:eastAsia="仿宋_GB2312" w:cs="仿宋_GB2312"/>
                <w:b/>
                <w:i w:val="0"/>
                <w:color w:val="000000"/>
                <w:sz w:val="18"/>
                <w:szCs w:val="18"/>
                <w:u w:val="none"/>
              </w:rPr>
            </w:pPr>
          </w:p>
        </w:tc>
        <w:tc>
          <w:tcPr>
            <w:tcW w:w="4428"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2795905</wp:posOffset>
                  </wp:positionH>
                  <wp:positionV relativeFrom="paragraph">
                    <wp:posOffset>-5080</wp:posOffset>
                  </wp:positionV>
                  <wp:extent cx="597535" cy="314325"/>
                  <wp:effectExtent l="0" t="0" r="12065" b="9525"/>
                  <wp:wrapNone/>
                  <wp:docPr id="2" name="Line_2"/>
                  <wp:cNvGraphicFramePr/>
                  <a:graphic xmlns:a="http://schemas.openxmlformats.org/drawingml/2006/main">
                    <a:graphicData uri="http://schemas.openxmlformats.org/drawingml/2006/picture">
                      <pic:pic xmlns:pic="http://schemas.openxmlformats.org/drawingml/2006/picture">
                        <pic:nvPicPr>
                          <pic:cNvPr id="2" name="Line_2"/>
                          <pic:cNvPicPr/>
                        </pic:nvPicPr>
                        <pic:blipFill>
                          <a:blip r:embed="rId4"/>
                          <a:stretch>
                            <a:fillRect/>
                          </a:stretch>
                        </pic:blipFill>
                        <pic:spPr>
                          <a:xfrm>
                            <a:off x="0" y="0"/>
                            <a:ext cx="597535" cy="314325"/>
                          </a:xfrm>
                          <a:prstGeom prst="rect">
                            <a:avLst/>
                          </a:prstGeom>
                          <a:noFill/>
                          <a:ln>
                            <a:noFill/>
                          </a:ln>
                        </pic:spPr>
                      </pic:pic>
                    </a:graphicData>
                  </a:graphic>
                </wp:anchor>
              </w:drawing>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2"/>
                <w:szCs w:val="12"/>
                <w:u w:val="none"/>
              </w:rPr>
            </w:pPr>
            <w:r>
              <w:rPr>
                <w:rFonts w:hint="eastAsia" w:ascii="黑体" w:hAnsi="宋体" w:eastAsia="黑体" w:cs="黑体"/>
                <w:b/>
                <w:i w:val="0"/>
                <w:color w:val="000000"/>
                <w:kern w:val="0"/>
                <w:sz w:val="12"/>
                <w:szCs w:val="12"/>
                <w:u w:val="none"/>
                <w:lang w:val="en-US" w:eastAsia="zh-CN" w:bidi="ar"/>
              </w:rPr>
              <w:t>(包括透明幕墙)</w:t>
            </w:r>
            <w:r>
              <w:rPr>
                <w:rStyle w:val="8"/>
                <w:lang w:val="en-US" w:eastAsia="zh-CN" w:bidi="ar"/>
              </w:rPr>
              <w:br w:type="textWrapping"/>
            </w:r>
            <w:r>
              <w:rPr>
                <w:rStyle w:val="6"/>
                <w:lang w:val="en-US" w:eastAsia="zh-CN" w:bidi="ar"/>
              </w:rPr>
              <w:t>外窗</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外窗框型材</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玻璃品种、厚度、规格</w:t>
            </w:r>
          </w:p>
        </w:tc>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外窗框型材</w:t>
            </w: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玻璃品种、厚度、规格</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2"/>
                <w:szCs w:val="1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2"/>
                <w:szCs w:val="1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926"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遮阳措施</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41"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遮阳措施</w:t>
            </w: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屋面</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设计情况</w:t>
            </w: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非透明屋面主要隔热材料</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 正置式</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 倒置式</w:t>
            </w:r>
          </w:p>
        </w:tc>
        <w:tc>
          <w:tcPr>
            <w:tcW w:w="292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隔热层材料品种、厚度</w:t>
            </w:r>
          </w:p>
        </w:tc>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验收情况</w:t>
            </w:r>
          </w:p>
        </w:tc>
        <w:tc>
          <w:tcPr>
            <w:tcW w:w="11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非透明屋面主要隔热材料</w:t>
            </w:r>
          </w:p>
        </w:tc>
        <w:tc>
          <w:tcPr>
            <w:tcW w:w="102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 正置式</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 倒置式</w:t>
            </w:r>
          </w:p>
        </w:tc>
        <w:tc>
          <w:tcPr>
            <w:tcW w:w="3825" w:type="dxa"/>
            <w:gridSpan w:val="7"/>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隔热层材料品种、厚度</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0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1"/>
                <w:szCs w:val="21"/>
                <w:u w:val="none"/>
              </w:rPr>
            </w:pPr>
          </w:p>
        </w:tc>
        <w:tc>
          <w:tcPr>
            <w:tcW w:w="3825" w:type="dxa"/>
            <w:gridSpan w:val="7"/>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天窗</w:t>
            </w:r>
          </w:p>
        </w:tc>
        <w:tc>
          <w:tcPr>
            <w:tcW w:w="17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窗框型材</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玻璃品种、规格</w:t>
            </w: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天窗</w:t>
            </w:r>
          </w:p>
        </w:tc>
        <w:tc>
          <w:tcPr>
            <w:tcW w:w="210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窗框型材</w:t>
            </w:r>
          </w:p>
        </w:tc>
        <w:tc>
          <w:tcPr>
            <w:tcW w:w="2745"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玻璃品种、规格</w:t>
            </w:r>
          </w:p>
        </w:tc>
      </w:tr>
      <w:tr>
        <w:tblPrEx>
          <w:tblCellMar>
            <w:top w:w="0" w:type="dxa"/>
            <w:left w:w="0" w:type="dxa"/>
            <w:bottom w:w="0" w:type="dxa"/>
            <w:right w:w="0" w:type="dxa"/>
          </w:tblCellMar>
        </w:tblPrEx>
        <w:trPr>
          <w:trHeight w:val="46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7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11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100" w:type="dxa"/>
            <w:gridSpan w:val="5"/>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c>
          <w:tcPr>
            <w:tcW w:w="2745"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21"/>
                <w:szCs w:val="21"/>
                <w:u w:val="none"/>
              </w:rPr>
            </w:pPr>
          </w:p>
        </w:tc>
      </w:tr>
      <w:tr>
        <w:tblPrEx>
          <w:tblCellMar>
            <w:top w:w="0" w:type="dxa"/>
            <w:left w:w="0" w:type="dxa"/>
            <w:bottom w:w="0" w:type="dxa"/>
            <w:right w:w="0" w:type="dxa"/>
          </w:tblCellMar>
        </w:tblPrEx>
        <w:trPr>
          <w:trHeight w:val="702"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可 再 生 能 源 利 用 情 况</w:t>
            </w:r>
          </w:p>
        </w:tc>
      </w:tr>
      <w:tr>
        <w:tblPrEx>
          <w:tblCellMar>
            <w:top w:w="0" w:type="dxa"/>
            <w:left w:w="0" w:type="dxa"/>
            <w:bottom w:w="0" w:type="dxa"/>
            <w:right w:w="0" w:type="dxa"/>
          </w:tblCellMar>
        </w:tblPrEx>
        <w:trPr>
          <w:trHeight w:val="439" w:hRule="atLeast"/>
        </w:trPr>
        <w:tc>
          <w:tcPr>
            <w:tcW w:w="690" w:type="dxa"/>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设计是否使用可再生能源</w:t>
            </w:r>
          </w:p>
        </w:tc>
        <w:tc>
          <w:tcPr>
            <w:tcW w:w="49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□是</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实际是否使用可再生能源</w:t>
            </w: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□是</w:t>
            </w: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项目类型</w:t>
            </w:r>
          </w:p>
        </w:tc>
        <w:tc>
          <w:tcPr>
            <w:tcW w:w="8652" w:type="dxa"/>
            <w:gridSpan w:val="1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□太阳能光热应用   □太阳能光电应用   □地源热泵  □其他：</w:t>
            </w:r>
            <w:r>
              <w:rPr>
                <w:rStyle w:val="9"/>
                <w:rFonts w:hAnsi="宋体"/>
                <w:lang w:val="en-US" w:eastAsia="zh-CN" w:bidi="ar"/>
              </w:rPr>
              <w:t xml:space="preserve">                  .</w:t>
            </w:r>
          </w:p>
        </w:tc>
      </w:tr>
      <w:tr>
        <w:tblPrEx>
          <w:tblCellMar>
            <w:top w:w="0" w:type="dxa"/>
            <w:left w:w="0" w:type="dxa"/>
            <w:bottom w:w="0" w:type="dxa"/>
            <w:right w:w="0" w:type="dxa"/>
          </w:tblCellMar>
        </w:tblPrEx>
        <w:trPr>
          <w:trHeight w:val="510"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应用面积</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项目规模</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kW</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□否</w:t>
            </w: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□否</w:t>
            </w: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总 投 资</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万元</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国家补贴</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万元</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开始时间</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20</w:t>
            </w:r>
            <w:r>
              <w:rPr>
                <w:rStyle w:val="9"/>
                <w:rFonts w:hAnsi="宋体"/>
                <w:lang w:val="en-US" w:eastAsia="zh-CN" w:bidi="ar"/>
              </w:rPr>
              <w:t xml:space="preserve">    </w:t>
            </w:r>
            <w:r>
              <w:rPr>
                <w:rStyle w:val="7"/>
                <w:rFonts w:hAnsi="宋体"/>
                <w:lang w:val="en-US" w:eastAsia="zh-CN" w:bidi="ar"/>
              </w:rPr>
              <w:t>年</w:t>
            </w:r>
            <w:r>
              <w:rPr>
                <w:rStyle w:val="9"/>
                <w:rFonts w:hAnsi="宋体"/>
                <w:lang w:val="en-US" w:eastAsia="zh-CN" w:bidi="ar"/>
              </w:rPr>
              <w:t xml:space="preserve">    </w:t>
            </w:r>
            <w:r>
              <w:rPr>
                <w:rStyle w:val="7"/>
                <w:rFonts w:hAnsi="宋体"/>
                <w:lang w:val="en-US" w:eastAsia="zh-CN" w:bidi="ar"/>
              </w:rPr>
              <w:t>月</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完成时间</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20</w:t>
            </w:r>
            <w:r>
              <w:rPr>
                <w:rStyle w:val="9"/>
                <w:rFonts w:hAnsi="宋体"/>
                <w:lang w:val="en-US" w:eastAsia="zh-CN" w:bidi="ar"/>
              </w:rPr>
              <w:t xml:space="preserve">    </w:t>
            </w:r>
            <w:r>
              <w:rPr>
                <w:rStyle w:val="7"/>
                <w:rFonts w:hAnsi="宋体"/>
                <w:lang w:val="en-US" w:eastAsia="zh-CN" w:bidi="ar"/>
              </w:rPr>
              <w:t>年</w:t>
            </w:r>
            <w:r>
              <w:rPr>
                <w:rStyle w:val="9"/>
                <w:rFonts w:hAnsi="宋体"/>
                <w:lang w:val="en-US" w:eastAsia="zh-CN" w:bidi="ar"/>
              </w:rPr>
              <w:t xml:space="preserve">    </w:t>
            </w:r>
            <w:r>
              <w:rPr>
                <w:rStyle w:val="7"/>
                <w:rFonts w:hAnsi="宋体"/>
                <w:lang w:val="en-US" w:eastAsia="zh-CN" w:bidi="ar"/>
              </w:rPr>
              <w:t>月</w:t>
            </w:r>
          </w:p>
        </w:tc>
      </w:tr>
      <w:tr>
        <w:tblPrEx>
          <w:tblCellMar>
            <w:top w:w="0" w:type="dxa"/>
            <w:left w:w="0" w:type="dxa"/>
            <w:bottom w:w="0" w:type="dxa"/>
            <w:right w:w="0" w:type="dxa"/>
          </w:tblCellMar>
        </w:tblPrEx>
        <w:trPr>
          <w:trHeight w:val="439" w:hRule="atLeast"/>
        </w:trPr>
        <w:tc>
          <w:tcPr>
            <w:tcW w:w="690" w:type="dxa"/>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49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16"/>
                <w:szCs w:val="16"/>
                <w:u w:val="none"/>
              </w:rPr>
            </w:pPr>
          </w:p>
        </w:tc>
        <w:tc>
          <w:tcPr>
            <w:tcW w:w="89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仿宋_GB2312" w:hAnsi="宋体" w:eastAsia="仿宋_GB2312" w:cs="仿宋_GB2312"/>
                <w:b/>
                <w:i w:val="0"/>
                <w:color w:val="000000"/>
                <w:sz w:val="18"/>
                <w:szCs w:val="18"/>
                <w:u w:val="none"/>
              </w:rPr>
            </w:pPr>
          </w:p>
        </w:tc>
        <w:tc>
          <w:tcPr>
            <w:tcW w:w="18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节 能 量</w:t>
            </w:r>
          </w:p>
        </w:tc>
        <w:tc>
          <w:tcPr>
            <w:tcW w:w="268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万吨</w:t>
            </w:r>
          </w:p>
        </w:tc>
        <w:tc>
          <w:tcPr>
            <w:tcW w:w="226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减 排 量</w:t>
            </w:r>
          </w:p>
        </w:tc>
        <w:tc>
          <w:tcPr>
            <w:tcW w:w="3702"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single"/>
              </w:rPr>
            </w:pPr>
            <w:r>
              <w:rPr>
                <w:rFonts w:hint="default" w:ascii="仿宋_GB2312" w:hAnsi="宋体" w:eastAsia="仿宋_GB2312" w:cs="仿宋_GB2312"/>
                <w:b/>
                <w:i w:val="0"/>
                <w:color w:val="000000"/>
                <w:kern w:val="0"/>
                <w:sz w:val="20"/>
                <w:szCs w:val="20"/>
                <w:u w:val="single"/>
                <w:lang w:val="en-US" w:eastAsia="zh-CN" w:bidi="ar"/>
              </w:rPr>
              <w:t xml:space="preserve">            </w:t>
            </w:r>
            <w:r>
              <w:rPr>
                <w:rStyle w:val="7"/>
                <w:rFonts w:hAnsi="宋体"/>
                <w:u w:val="single"/>
                <w:lang w:val="en-US" w:eastAsia="zh-CN" w:bidi="ar"/>
              </w:rPr>
              <w:t>万吨</w:t>
            </w:r>
          </w:p>
        </w:tc>
      </w:tr>
      <w:tr>
        <w:tblPrEx>
          <w:tblCellMar>
            <w:top w:w="0" w:type="dxa"/>
            <w:left w:w="0" w:type="dxa"/>
            <w:bottom w:w="0" w:type="dxa"/>
            <w:right w:w="0" w:type="dxa"/>
          </w:tblCellMar>
        </w:tblPrEx>
        <w:trPr>
          <w:trHeight w:val="465" w:hRule="atLeast"/>
        </w:trPr>
        <w:tc>
          <w:tcPr>
            <w:tcW w:w="13080" w:type="dxa"/>
            <w:gridSpan w:val="22"/>
            <w:tcBorders>
              <w:top w:val="single" w:color="000000" w:sz="8" w:space="0"/>
              <w:left w:val="single" w:color="000000" w:sz="12"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集 中 空 调 系 统 情 况</w:t>
            </w:r>
          </w:p>
        </w:tc>
      </w:tr>
      <w:tr>
        <w:tblPrEx>
          <w:tblCellMar>
            <w:top w:w="0" w:type="dxa"/>
            <w:left w:w="0" w:type="dxa"/>
            <w:bottom w:w="0" w:type="dxa"/>
            <w:right w:w="0" w:type="dxa"/>
          </w:tblCellMar>
        </w:tblPrEx>
        <w:trPr>
          <w:trHeight w:val="462" w:hRule="atLeast"/>
        </w:trPr>
        <w:tc>
          <w:tcPr>
            <w:tcW w:w="4305" w:type="dxa"/>
            <w:gridSpan w:val="8"/>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设计是否采用集中空调系统</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c>
          <w:tcPr>
            <w:tcW w:w="4230"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实际是否采用集中空调系统</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r>
      <w:tr>
        <w:tblPrEx>
          <w:tblCellMar>
            <w:top w:w="0" w:type="dxa"/>
            <w:left w:w="0" w:type="dxa"/>
            <w:bottom w:w="0" w:type="dxa"/>
            <w:right w:w="0" w:type="dxa"/>
          </w:tblCellMar>
        </w:tblPrEx>
        <w:trPr>
          <w:trHeight w:val="462" w:hRule="atLeast"/>
        </w:trPr>
        <w:tc>
          <w:tcPr>
            <w:tcW w:w="4305" w:type="dxa"/>
            <w:gridSpan w:val="8"/>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设计是否采用空调废热回收利用装置</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c>
          <w:tcPr>
            <w:tcW w:w="4230" w:type="dxa"/>
            <w:gridSpan w:val="9"/>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实际是否采用空调废热回收利用装置</w:t>
            </w:r>
          </w:p>
        </w:tc>
        <w:tc>
          <w:tcPr>
            <w:tcW w:w="231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□是   □否</w:t>
            </w:r>
          </w:p>
        </w:tc>
      </w:tr>
      <w:tr>
        <w:tblPrEx>
          <w:tblCellMar>
            <w:top w:w="0" w:type="dxa"/>
            <w:left w:w="0" w:type="dxa"/>
            <w:bottom w:w="0" w:type="dxa"/>
            <w:right w:w="0" w:type="dxa"/>
          </w:tblCellMar>
        </w:tblPrEx>
        <w:trPr>
          <w:trHeight w:val="525" w:hRule="atLeast"/>
        </w:trPr>
        <w:tc>
          <w:tcPr>
            <w:tcW w:w="1185" w:type="dxa"/>
            <w:gridSpan w:val="3"/>
            <w:vMerge w:val="restart"/>
            <w:tcBorders>
              <w:top w:val="single" w:color="000000" w:sz="8" w:space="0"/>
              <w:left w:val="single" w:color="000000" w:sz="12" w:space="0"/>
              <w:right w:val="single" w:color="000000" w:sz="8"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资料清单</w:t>
            </w:r>
          </w:p>
        </w:tc>
        <w:tc>
          <w:tcPr>
            <w:tcW w:w="11895" w:type="dxa"/>
            <w:gridSpan w:val="19"/>
            <w:tcBorders>
              <w:top w:val="single" w:color="000000" w:sz="8" w:space="0"/>
              <w:left w:val="single" w:color="000000" w:sz="8" w:space="0"/>
              <w:bottom w:val="single" w:color="000000" w:sz="8" w:space="0"/>
              <w:right w:val="single" w:color="000000" w:sz="12"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0"/>
                <w:szCs w:val="20"/>
                <w:u w:val="none"/>
                <w:lang w:val="en-US"/>
              </w:rPr>
            </w:pPr>
            <w:r>
              <w:rPr>
                <w:rFonts w:hint="default" w:ascii="仿宋_GB2312" w:hAnsi="宋体" w:eastAsia="仿宋_GB2312" w:cs="仿宋_GB2312"/>
                <w:b/>
                <w:i w:val="0"/>
                <w:color w:val="000000"/>
                <w:kern w:val="0"/>
                <w:sz w:val="20"/>
                <w:szCs w:val="20"/>
                <w:u w:val="none"/>
                <w:lang w:val="en-US" w:eastAsia="zh-CN" w:bidi="ar"/>
              </w:rPr>
              <w:t xml:space="preserve">      一、《绿色建筑预评估报告》/获得《绿色建筑设计标识》的绿色建筑设计专篇</w:t>
            </w:r>
            <w:r>
              <w:rPr>
                <w:rFonts w:hint="eastAsia" w:ascii="仿宋_GB2312" w:hAnsi="宋体" w:eastAsia="仿宋_GB2312" w:cs="仿宋_GB2312"/>
                <w:b/>
                <w:i w:val="0"/>
                <w:color w:val="000000"/>
                <w:kern w:val="0"/>
                <w:sz w:val="20"/>
                <w:szCs w:val="20"/>
                <w:u w:val="none"/>
                <w:lang w:val="en-US" w:eastAsia="zh-CN" w:bidi="ar"/>
              </w:rPr>
              <w:t>、节能设计专篇</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12" w:space="0"/>
            </w:tcBorders>
            <w:shd w:val="clear" w:color="auto" w:fill="auto"/>
            <w:tcMar>
              <w:top w:w="10" w:type="dxa"/>
              <w:left w:w="10" w:type="dxa"/>
              <w:right w:w="10" w:type="dxa"/>
            </w:tcMar>
            <w:vAlign w:val="center"/>
          </w:tcPr>
          <w:p>
            <w:pPr>
              <w:keepNext w:val="0"/>
              <w:keepLines w:val="0"/>
              <w:widowControl/>
              <w:numPr>
                <w:ilvl w:val="0"/>
                <w:numId w:val="1"/>
              </w:numPr>
              <w:suppressLineNumbers w:val="0"/>
              <w:ind w:left="602" w:leftChars="0" w:firstLine="0" w:firstLineChars="0"/>
              <w:jc w:val="left"/>
              <w:textAlignment w:val="center"/>
              <w:rPr>
                <w:rFonts w:hint="default" w:ascii="仿宋_GB2312" w:hAnsi="宋体" w:eastAsia="仿宋_GB2312" w:cs="仿宋_GB2312"/>
                <w:b/>
                <w:i w:val="0"/>
                <w:color w:val="000000"/>
                <w:sz w:val="20"/>
                <w:szCs w:val="20"/>
                <w:u w:val="none"/>
                <w:lang w:val="en-US"/>
              </w:rPr>
            </w:pPr>
            <w:r>
              <w:rPr>
                <w:rFonts w:hint="eastAsia" w:ascii="仿宋_GB2312" w:hAnsi="宋体" w:eastAsia="仿宋_GB2312" w:cs="仿宋_GB2312"/>
                <w:b/>
                <w:i w:val="0"/>
                <w:color w:val="000000"/>
                <w:sz w:val="20"/>
                <w:szCs w:val="20"/>
                <w:u w:val="none"/>
                <w:lang w:val="en-US" w:eastAsia="zh-CN"/>
              </w:rPr>
              <w:t>建设单位绿色建筑与建筑节能工程验收自评估报告（附件1-1）</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numPr>
                <w:ilvl w:val="0"/>
                <w:numId w:val="1"/>
              </w:numPr>
              <w:suppressLineNumbers w:val="0"/>
              <w:ind w:left="602" w:leftChars="0" w:firstLine="0" w:firstLineChars="0"/>
              <w:jc w:val="left"/>
              <w:textAlignment w:val="center"/>
              <w:rPr>
                <w:rFonts w:hint="default" w:ascii="仿宋_GB2312" w:hAnsi="宋体" w:eastAsia="仿宋_GB2312" w:cs="仿宋_GB2312"/>
                <w:b/>
                <w:i w:val="0"/>
                <w:color w:val="000000"/>
                <w:kern w:val="0"/>
                <w:sz w:val="20"/>
                <w:szCs w:val="20"/>
                <w:u w:val="none"/>
                <w:lang w:val="en-US" w:eastAsia="zh-CN" w:bidi="ar"/>
              </w:rPr>
            </w:pPr>
            <w:r>
              <w:rPr>
                <w:rFonts w:hint="default" w:ascii="仿宋_GB2312" w:hAnsi="宋体" w:eastAsia="仿宋_GB2312" w:cs="仿宋_GB2312"/>
                <w:b/>
                <w:i w:val="0"/>
                <w:color w:val="000000"/>
                <w:kern w:val="0"/>
                <w:sz w:val="20"/>
                <w:szCs w:val="20"/>
                <w:u w:val="none"/>
                <w:lang w:val="en-US" w:eastAsia="zh-CN" w:bidi="ar"/>
              </w:rPr>
              <w:t>绿色建筑工程验收申请表</w:t>
            </w:r>
            <w:r>
              <w:rPr>
                <w:rFonts w:hint="eastAsia" w:ascii="仿宋_GB2312" w:hAnsi="宋体" w:eastAsia="仿宋_GB2312" w:cs="仿宋_GB2312"/>
                <w:b/>
                <w:i w:val="0"/>
                <w:color w:val="000000"/>
                <w:kern w:val="0"/>
                <w:sz w:val="20"/>
                <w:szCs w:val="20"/>
                <w:u w:val="none"/>
                <w:lang w:val="en-US" w:eastAsia="zh-CN" w:bidi="ar"/>
              </w:rPr>
              <w:t>（附件1-2）</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 xml:space="preserve">      </w:t>
            </w:r>
            <w:r>
              <w:rPr>
                <w:rFonts w:hint="eastAsia" w:ascii="仿宋_GB2312" w:hAnsi="宋体" w:eastAsia="仿宋_GB2312" w:cs="仿宋_GB2312"/>
                <w:b/>
                <w:i w:val="0"/>
                <w:color w:val="000000"/>
                <w:kern w:val="0"/>
                <w:sz w:val="20"/>
                <w:szCs w:val="20"/>
                <w:u w:val="none"/>
                <w:lang w:val="en-US" w:eastAsia="zh-CN" w:bidi="ar"/>
              </w:rPr>
              <w:t>四</w:t>
            </w:r>
            <w:r>
              <w:rPr>
                <w:rFonts w:hint="default" w:ascii="仿宋_GB2312" w:hAnsi="宋体" w:eastAsia="仿宋_GB2312" w:cs="仿宋_GB2312"/>
                <w:b/>
                <w:i w:val="0"/>
                <w:color w:val="000000"/>
                <w:kern w:val="0"/>
                <w:sz w:val="20"/>
                <w:szCs w:val="20"/>
                <w:u w:val="none"/>
                <w:lang w:val="en-US" w:eastAsia="zh-CN" w:bidi="ar"/>
              </w:rPr>
              <w:t>、《</w:t>
            </w:r>
            <w:r>
              <w:rPr>
                <w:rFonts w:hint="eastAsia" w:ascii="仿宋_GB2312" w:hAnsi="宋体" w:eastAsia="仿宋_GB2312" w:cs="仿宋_GB2312"/>
                <w:b/>
                <w:i w:val="0"/>
                <w:color w:val="000000"/>
                <w:kern w:val="0"/>
                <w:sz w:val="20"/>
                <w:szCs w:val="20"/>
                <w:u w:val="none"/>
                <w:lang w:val="en-US" w:eastAsia="zh-CN" w:bidi="ar"/>
              </w:rPr>
              <w:t>绿色建筑与建筑节能</w:t>
            </w:r>
            <w:r>
              <w:rPr>
                <w:rFonts w:hint="default" w:ascii="仿宋_GB2312" w:hAnsi="宋体" w:eastAsia="仿宋_GB2312" w:cs="仿宋_GB2312"/>
                <w:b/>
                <w:i w:val="0"/>
                <w:color w:val="000000"/>
                <w:kern w:val="0"/>
                <w:sz w:val="20"/>
                <w:szCs w:val="20"/>
                <w:u w:val="none"/>
                <w:lang w:val="en-US" w:eastAsia="zh-CN" w:bidi="ar"/>
              </w:rPr>
              <w:t>检测方案》</w:t>
            </w:r>
            <w:r>
              <w:rPr>
                <w:rFonts w:hint="eastAsia" w:ascii="仿宋_GB2312" w:hAnsi="宋体" w:eastAsia="仿宋_GB2312" w:cs="仿宋_GB2312"/>
                <w:b/>
                <w:i w:val="0"/>
                <w:color w:val="000000"/>
                <w:kern w:val="0"/>
                <w:sz w:val="20"/>
                <w:szCs w:val="20"/>
                <w:u w:val="none"/>
                <w:lang w:val="en-US" w:eastAsia="zh-CN" w:bidi="ar"/>
              </w:rPr>
              <w:t>及绿色建筑与建筑节能相关检测报告</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numPr>
                <w:ilvl w:val="0"/>
                <w:numId w:val="2"/>
              </w:numPr>
              <w:suppressLineNumbers w:val="0"/>
              <w:ind w:left="602" w:leftChars="0"/>
              <w:jc w:val="left"/>
              <w:textAlignment w:val="center"/>
              <w:rPr>
                <w:rFonts w:hint="default"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sz w:val="20"/>
                <w:szCs w:val="20"/>
                <w:u w:val="none"/>
                <w:lang w:eastAsia="zh-CN"/>
              </w:rPr>
              <w:t>相关材料认证证书（应满足“</w:t>
            </w:r>
            <w:r>
              <w:rPr>
                <w:rFonts w:hint="eastAsia" w:ascii="仿宋_GB2312" w:hAnsi="宋体" w:eastAsia="仿宋_GB2312" w:cs="仿宋_GB2312"/>
                <w:b/>
                <w:i w:val="0"/>
                <w:color w:val="000000"/>
                <w:sz w:val="20"/>
                <w:szCs w:val="20"/>
                <w:u w:val="none"/>
                <w:lang w:val="en-US" w:eastAsia="zh-CN"/>
              </w:rPr>
              <w:t>CCC认证</w:t>
            </w:r>
            <w:r>
              <w:rPr>
                <w:rFonts w:hint="eastAsia" w:ascii="仿宋_GB2312" w:hAnsi="宋体" w:eastAsia="仿宋_GB2312" w:cs="仿宋_GB2312"/>
                <w:b/>
                <w:i w:val="0"/>
                <w:color w:val="000000"/>
                <w:sz w:val="20"/>
                <w:szCs w:val="20"/>
                <w:u w:val="none"/>
                <w:lang w:eastAsia="zh-CN"/>
              </w:rPr>
              <w:t>”）</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numPr>
                <w:ilvl w:val="0"/>
                <w:numId w:val="2"/>
              </w:numPr>
              <w:suppressLineNumbers w:val="0"/>
              <w:ind w:left="602" w:leftChars="0" w:firstLine="0" w:firstLineChars="0"/>
              <w:jc w:val="left"/>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绿色建筑与建筑节能工程验收专家评审意见表（附件1-3）（根据选择验收方式提供）</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numPr>
                <w:ilvl w:val="0"/>
                <w:numId w:val="0"/>
              </w:numPr>
              <w:suppressLineNumbers w:val="0"/>
              <w:ind w:left="602" w:leftChars="0"/>
              <w:jc w:val="left"/>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七、建设工程规划许可证和建筑工程施工许可证复印件</w:t>
            </w:r>
          </w:p>
        </w:tc>
      </w:tr>
      <w:tr>
        <w:tblPrEx>
          <w:tblCellMar>
            <w:top w:w="0" w:type="dxa"/>
            <w:left w:w="0" w:type="dxa"/>
            <w:bottom w:w="0" w:type="dxa"/>
            <w:right w:w="0" w:type="dxa"/>
          </w:tblCellMar>
        </w:tblPrEx>
        <w:trPr>
          <w:trHeight w:val="525" w:hRule="atLeast"/>
        </w:trPr>
        <w:tc>
          <w:tcPr>
            <w:tcW w:w="1185" w:type="dxa"/>
            <w:gridSpan w:val="3"/>
            <w:vMerge w:val="continue"/>
            <w:tcBorders>
              <w:left w:val="single" w:color="000000" w:sz="12" w:space="0"/>
              <w:bottom w:val="single" w:color="000000" w:sz="8" w:space="0"/>
              <w:right w:val="single" w:color="000000" w:sz="8" w:space="0"/>
            </w:tcBorders>
            <w:shd w:val="clear" w:color="auto" w:fill="auto"/>
            <w:tcMar>
              <w:top w:w="10" w:type="dxa"/>
              <w:left w:w="10" w:type="dxa"/>
              <w:right w:w="10" w:type="dxa"/>
            </w:tcMar>
            <w:textDirection w:val="tbRlV"/>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numPr>
                <w:ilvl w:val="0"/>
                <w:numId w:val="0"/>
              </w:numPr>
              <w:suppressLineNumbers w:val="0"/>
              <w:ind w:left="602" w:leftChars="0"/>
              <w:jc w:val="left"/>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八、</w:t>
            </w:r>
            <w:r>
              <w:rPr>
                <w:rFonts w:hint="default" w:ascii="仿宋_GB2312" w:hAnsi="宋体" w:eastAsia="仿宋_GB2312" w:cs="仿宋_GB2312"/>
                <w:b/>
                <w:i w:val="0"/>
                <w:color w:val="000000"/>
                <w:kern w:val="0"/>
                <w:sz w:val="20"/>
                <w:szCs w:val="20"/>
                <w:u w:val="none"/>
                <w:lang w:val="en-US" w:eastAsia="zh-CN" w:bidi="ar"/>
              </w:rPr>
              <w:t>《绿色建筑工程验收承诺书》</w:t>
            </w:r>
            <w:r>
              <w:rPr>
                <w:rFonts w:hint="eastAsia" w:ascii="仿宋_GB2312" w:hAnsi="宋体" w:eastAsia="仿宋_GB2312" w:cs="仿宋_GB2312"/>
                <w:b/>
                <w:i w:val="0"/>
                <w:color w:val="000000"/>
                <w:kern w:val="0"/>
                <w:sz w:val="20"/>
                <w:szCs w:val="20"/>
                <w:u w:val="none"/>
                <w:lang w:val="en-US" w:eastAsia="zh-CN" w:bidi="ar"/>
              </w:rPr>
              <w:t>（附件1-4）（根据选择验收方式提供）</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设计单位</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意见</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cente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42" w:hRule="atLeast"/>
        </w:trPr>
        <w:tc>
          <w:tcPr>
            <w:tcW w:w="1185" w:type="dxa"/>
            <w:gridSpan w:val="3"/>
            <w:vMerge w:val="restart"/>
            <w:tcBorders>
              <w:top w:val="single" w:color="000000" w:sz="8" w:space="0"/>
              <w:left w:val="single" w:color="000000" w:sz="12"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lang w:val="en-US" w:eastAsia="zh-CN"/>
              </w:rPr>
            </w:pPr>
            <w:r>
              <w:rPr>
                <w:rFonts w:hint="eastAsia" w:ascii="黑体" w:hAnsi="宋体" w:eastAsia="黑体" w:cs="黑体"/>
                <w:b/>
                <w:i w:val="0"/>
                <w:color w:val="000000"/>
                <w:sz w:val="22"/>
                <w:szCs w:val="22"/>
                <w:u w:val="none"/>
                <w:lang w:val="en-US" w:eastAsia="zh-CN"/>
              </w:rPr>
              <w:t>勘察单位</w:t>
            </w:r>
          </w:p>
          <w:p>
            <w:pPr>
              <w:jc w:val="center"/>
              <w:rPr>
                <w:rFonts w:hint="default" w:ascii="黑体" w:hAnsi="宋体" w:eastAsia="黑体" w:cs="黑体"/>
                <w:b/>
                <w:i w:val="0"/>
                <w:color w:val="000000"/>
                <w:sz w:val="22"/>
                <w:szCs w:val="22"/>
                <w:u w:val="none"/>
                <w:lang w:val="en-US" w:eastAsia="zh-CN"/>
              </w:rPr>
            </w:pPr>
            <w:r>
              <w:rPr>
                <w:rFonts w:hint="eastAsia" w:ascii="黑体" w:hAnsi="宋体" w:eastAsia="黑体" w:cs="黑体"/>
                <w:b/>
                <w:i w:val="0"/>
                <w:color w:val="000000"/>
                <w:sz w:val="22"/>
                <w:szCs w:val="22"/>
                <w:u w:val="none"/>
                <w:lang w:val="en-US" w:eastAsia="zh-CN"/>
              </w:rPr>
              <w:t>意见</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center"/>
              <w:rPr>
                <w:rFonts w:hint="default"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842"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right"/>
              <w:textAlignment w:val="bottom"/>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42" w:hRule="atLeast"/>
        </w:trPr>
        <w:tc>
          <w:tcPr>
            <w:tcW w:w="1185" w:type="dxa"/>
            <w:gridSpan w:val="3"/>
            <w:vMerge w:val="continue"/>
            <w:tcBorders>
              <w:left w:val="single" w:color="000000" w:sz="12"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right"/>
              <w:textAlignment w:val="bottom"/>
              <w:rPr>
                <w:rFonts w:hint="default" w:ascii="仿宋_GB2312" w:hAnsi="宋体" w:eastAsia="仿宋_GB2312" w:cs="仿宋_GB2312"/>
                <w:i w:val="0"/>
                <w:color w:val="000000"/>
                <w:kern w:val="0"/>
                <w:sz w:val="24"/>
                <w:szCs w:val="24"/>
                <w:u w:val="none"/>
                <w:lang w:val="en-US" w:eastAsia="zh-CN" w:bidi="ar"/>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 xml:space="preserve"> 施工单位 意见</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both"/>
              <w:rPr>
                <w:rFonts w:hint="eastAsia" w:ascii="黑体" w:hAnsi="宋体" w:eastAsia="黑体" w:cs="黑体"/>
                <w:b/>
                <w:i w:val="0"/>
                <w:color w:val="000000"/>
                <w:sz w:val="22"/>
                <w:szCs w:val="22"/>
                <w:u w:val="none"/>
              </w:rPr>
            </w:pP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 xml:space="preserve"> 监理单位  意见</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lang w:val="en-US"/>
              </w:rPr>
            </w:pP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建设单位</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自审结论</w:t>
            </w:r>
          </w:p>
        </w:tc>
        <w:tc>
          <w:tcPr>
            <w:tcW w:w="11895" w:type="dxa"/>
            <w:gridSpan w:val="19"/>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bottom"/>
          </w:tcPr>
          <w:p>
            <w:pPr>
              <w:jc w:val="cente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负责人：              年   月   日</w:t>
            </w:r>
          </w:p>
        </w:tc>
      </w:tr>
      <w:tr>
        <w:tblPrEx>
          <w:tblCellMar>
            <w:top w:w="0" w:type="dxa"/>
            <w:left w:w="0" w:type="dxa"/>
            <w:bottom w:w="0" w:type="dxa"/>
            <w:right w:w="0" w:type="dxa"/>
          </w:tblCellMar>
        </w:tblPrEx>
        <w:trPr>
          <w:trHeight w:val="2516" w:hRule="atLeast"/>
        </w:trPr>
        <w:tc>
          <w:tcPr>
            <w:tcW w:w="1185" w:type="dxa"/>
            <w:gridSpan w:val="3"/>
            <w:vMerge w:val="restart"/>
            <w:tcBorders>
              <w:top w:val="single" w:color="000000" w:sz="8" w:space="0"/>
              <w:left w:val="single" w:color="000000" w:sz="12"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专家评审结论（适用于二星三星）</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eastAsia" w:ascii="仿宋_GB2312" w:hAnsi="宋体" w:eastAsia="仿宋_GB2312" w:cs="仿宋_GB2312"/>
                <w:i w:val="0"/>
                <w:color w:val="000000"/>
                <w:kern w:val="0"/>
                <w:sz w:val="24"/>
                <w:szCs w:val="24"/>
                <w:u w:val="none"/>
                <w:lang w:val="en-US" w:eastAsia="zh-CN" w:bidi="ar"/>
              </w:rPr>
            </w:pPr>
          </w:p>
          <w:p>
            <w:pPr>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w:t>
            </w:r>
          </w:p>
          <w:p>
            <w:pPr>
              <w:jc w:val="both"/>
              <w:rPr>
                <w:rFonts w:hint="eastAsia" w:ascii="黑体" w:hAnsi="宋体" w:eastAsia="黑体" w:cs="黑体"/>
                <w:b/>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专家组长签字：              专家组签字</w:t>
            </w:r>
            <w:r>
              <w:rPr>
                <w:rFonts w:hint="default"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822" w:hRule="atLeast"/>
        </w:trPr>
        <w:tc>
          <w:tcPr>
            <w:tcW w:w="1185" w:type="dxa"/>
            <w:gridSpan w:val="3"/>
            <w:vMerge w:val="restart"/>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lang w:val="en-US"/>
              </w:rPr>
            </w:pPr>
            <w:r>
              <w:rPr>
                <w:rFonts w:hint="eastAsia" w:ascii="黑体" w:hAnsi="宋体" w:eastAsia="黑体" w:cs="黑体"/>
                <w:b/>
                <w:i w:val="0"/>
                <w:color w:val="000000"/>
                <w:kern w:val="0"/>
                <w:sz w:val="22"/>
                <w:szCs w:val="22"/>
                <w:u w:val="none"/>
                <w:lang w:val="en-US" w:eastAsia="zh-CN" w:bidi="ar"/>
              </w:rPr>
              <w:t>主管部门意见</w:t>
            </w:r>
          </w:p>
        </w:tc>
        <w:tc>
          <w:tcPr>
            <w:tcW w:w="11895" w:type="dxa"/>
            <w:gridSpan w:val="19"/>
            <w:tcBorders>
              <w:top w:val="single" w:color="000000" w:sz="8" w:space="0"/>
              <w:left w:val="single" w:color="000000" w:sz="8" w:space="0"/>
              <w:bottom w:val="nil"/>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nil"/>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（盖     章）</w:t>
            </w:r>
          </w:p>
        </w:tc>
      </w:tr>
      <w:tr>
        <w:tblPrEx>
          <w:tblCellMar>
            <w:top w:w="0" w:type="dxa"/>
            <w:left w:w="0" w:type="dxa"/>
            <w:bottom w:w="0" w:type="dxa"/>
            <w:right w:w="0" w:type="dxa"/>
          </w:tblCellMar>
        </w:tblPrEx>
        <w:trPr>
          <w:trHeight w:val="822" w:hRule="atLeast"/>
        </w:trPr>
        <w:tc>
          <w:tcPr>
            <w:tcW w:w="1185" w:type="dxa"/>
            <w:gridSpan w:val="3"/>
            <w:vMerge w:val="continue"/>
            <w:tcBorders>
              <w:top w:val="single" w:color="000000" w:sz="8" w:space="0"/>
              <w:left w:val="single" w:color="000000" w:sz="12"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2"/>
                <w:szCs w:val="22"/>
                <w:u w:val="none"/>
              </w:rPr>
            </w:pPr>
          </w:p>
        </w:tc>
        <w:tc>
          <w:tcPr>
            <w:tcW w:w="11895" w:type="dxa"/>
            <w:gridSpan w:val="19"/>
            <w:tcBorders>
              <w:top w:val="nil"/>
              <w:left w:val="single" w:color="000000" w:sz="8" w:space="0"/>
              <w:bottom w:val="single" w:color="000000" w:sz="12" w:space="0"/>
              <w:right w:val="single" w:color="000000" w:sz="8"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负责人：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年   月   日</w:t>
            </w:r>
          </w:p>
        </w:tc>
      </w:tr>
    </w:tbl>
    <w:p>
      <w:pPr>
        <w:rPr>
          <w:rFonts w:hint="eastAsia" w:ascii="仿宋_GB2312" w:hAnsi="仿宋_GB2312" w:eastAsia="仿宋_GB2312" w:cs="仿宋_GB2312"/>
          <w:sz w:val="32"/>
          <w:szCs w:val="32"/>
          <w:lang w:val="en-US" w:eastAsia="zh-CN"/>
        </w:rPr>
      </w:pPr>
      <w:r>
        <w:rPr>
          <w:rFonts w:hint="eastAsia"/>
          <w:lang w:val="en-US" w:eastAsia="zh-CN"/>
        </w:rPr>
        <w:t>注：</w:t>
      </w:r>
    </w:p>
    <w:sectPr>
      <w:pgSz w:w="16783" w:h="23757"/>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64D8A"/>
    <w:multiLevelType w:val="singleLevel"/>
    <w:tmpl w:val="35364D8A"/>
    <w:lvl w:ilvl="0" w:tentative="0">
      <w:start w:val="5"/>
      <w:numFmt w:val="chineseCounting"/>
      <w:suff w:val="space"/>
      <w:lvlText w:val="%1、"/>
      <w:lvlJc w:val="left"/>
      <w:rPr>
        <w:rFonts w:hint="eastAsia"/>
      </w:rPr>
    </w:lvl>
  </w:abstractNum>
  <w:abstractNum w:abstractNumId="1">
    <w:nsid w:val="59DFA114"/>
    <w:multiLevelType w:val="singleLevel"/>
    <w:tmpl w:val="59DFA114"/>
    <w:lvl w:ilvl="0" w:tentative="0">
      <w:start w:val="2"/>
      <w:numFmt w:val="chineseCounting"/>
      <w:suff w:val="space"/>
      <w:lvlText w:val="%1、"/>
      <w:lvlJc w:val="left"/>
      <w:pPr>
        <w:ind w:left="602"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657F7"/>
    <w:rsid w:val="09AE530C"/>
    <w:rsid w:val="138E29AB"/>
    <w:rsid w:val="1A366744"/>
    <w:rsid w:val="1EA955C2"/>
    <w:rsid w:val="1FCF2CBB"/>
    <w:rsid w:val="2AB7145D"/>
    <w:rsid w:val="35A3796C"/>
    <w:rsid w:val="39153EE3"/>
    <w:rsid w:val="3D46526E"/>
    <w:rsid w:val="3D4E7D15"/>
    <w:rsid w:val="57F657F7"/>
    <w:rsid w:val="5C1F0317"/>
    <w:rsid w:val="61BF327B"/>
    <w:rsid w:val="7691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default" w:ascii="仿宋_GB2312" w:eastAsia="仿宋_GB2312" w:cs="仿宋_GB2312"/>
      <w:b/>
      <w:color w:val="000000"/>
      <w:sz w:val="14"/>
      <w:szCs w:val="14"/>
      <w:u w:val="single"/>
    </w:rPr>
  </w:style>
  <w:style w:type="character" w:customStyle="1" w:styleId="5">
    <w:name w:val="font71"/>
    <w:basedOn w:val="3"/>
    <w:qFormat/>
    <w:uiPriority w:val="0"/>
    <w:rPr>
      <w:rFonts w:hint="default" w:ascii="仿宋_GB2312" w:eastAsia="仿宋_GB2312" w:cs="仿宋_GB2312"/>
      <w:b/>
      <w:color w:val="000000"/>
      <w:sz w:val="14"/>
      <w:szCs w:val="14"/>
      <w:u w:val="none"/>
    </w:rPr>
  </w:style>
  <w:style w:type="character" w:customStyle="1" w:styleId="6">
    <w:name w:val="font91"/>
    <w:basedOn w:val="3"/>
    <w:qFormat/>
    <w:uiPriority w:val="0"/>
    <w:rPr>
      <w:rFonts w:hint="eastAsia" w:ascii="黑体" w:hAnsi="宋体" w:eastAsia="黑体" w:cs="黑体"/>
      <w:b/>
      <w:color w:val="000000"/>
      <w:sz w:val="22"/>
      <w:szCs w:val="22"/>
      <w:u w:val="none"/>
    </w:rPr>
  </w:style>
  <w:style w:type="character" w:customStyle="1" w:styleId="7">
    <w:name w:val="font131"/>
    <w:basedOn w:val="3"/>
    <w:qFormat/>
    <w:uiPriority w:val="0"/>
    <w:rPr>
      <w:rFonts w:hint="default" w:ascii="仿宋_GB2312" w:eastAsia="仿宋_GB2312" w:cs="仿宋_GB2312"/>
      <w:b/>
      <w:color w:val="000000"/>
      <w:sz w:val="20"/>
      <w:szCs w:val="20"/>
      <w:u w:val="none"/>
    </w:rPr>
  </w:style>
  <w:style w:type="character" w:customStyle="1" w:styleId="8">
    <w:name w:val="font41"/>
    <w:basedOn w:val="3"/>
    <w:qFormat/>
    <w:uiPriority w:val="0"/>
    <w:rPr>
      <w:rFonts w:hint="eastAsia" w:ascii="黑体" w:hAnsi="宋体" w:eastAsia="黑体" w:cs="黑体"/>
      <w:b/>
      <w:color w:val="000000"/>
      <w:sz w:val="14"/>
      <w:szCs w:val="14"/>
      <w:u w:val="none"/>
    </w:rPr>
  </w:style>
  <w:style w:type="character" w:customStyle="1" w:styleId="9">
    <w:name w:val="font101"/>
    <w:basedOn w:val="3"/>
    <w:qFormat/>
    <w:uiPriority w:val="0"/>
    <w:rPr>
      <w:rFonts w:hint="default" w:ascii="仿宋_GB2312" w:eastAsia="仿宋_GB2312" w:cs="仿宋_GB2312"/>
      <w:b/>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22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2021-04-08T09:39:00Z</dcterms:created>
  <dc:creator>消音的盛夏</dc:creator>
  <cp:lastModifiedBy>消音的盛夏</cp:lastModifiedBy>
  <dcterms:modified xsi:type="dcterms:W3CDTF">2021-04-20T08:44:10Z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